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1CD3">
      <w:pPr>
        <w:bidi w:val="0"/>
        <w:jc w:val="center"/>
        <w:rPr>
          <w:rFonts w:hint="eastAsia"/>
          <w:lang w:eastAsia="zh-CN"/>
        </w:rPr>
      </w:pPr>
    </w:p>
    <w:p w14:paraId="1057593E">
      <w:pPr>
        <w:bidi w:val="0"/>
        <w:jc w:val="center"/>
        <w:rPr>
          <w:rFonts w:hint="eastAsia"/>
          <w:lang w:eastAsia="zh-CN"/>
        </w:rPr>
      </w:pPr>
    </w:p>
    <w:p w14:paraId="3F6DE9BA">
      <w:pPr>
        <w:bidi w:val="0"/>
        <w:jc w:val="center"/>
        <w:rPr>
          <w:rFonts w:hint="eastAsia"/>
          <w:lang w:eastAsia="zh-CN"/>
        </w:rPr>
      </w:pPr>
    </w:p>
    <w:p w14:paraId="1A102127">
      <w:pPr>
        <w:snapToGrid w:val="0"/>
        <w:spacing w:line="800" w:lineRule="exact"/>
        <w:jc w:val="center"/>
        <w:rPr>
          <w:rFonts w:hint="default" w:asciiTheme="minorEastAsia" w:hAnsiTheme="minorEastAsia" w:eastAsiaTheme="minorEastAsia" w:cstheme="minorEastAsia"/>
          <w:b/>
          <w:color w:val="000000"/>
          <w:sz w:val="44"/>
          <w:szCs w:val="44"/>
          <w:highlight w:val="none"/>
          <w:lang w:eastAsia="zh-CN"/>
        </w:rPr>
      </w:pPr>
      <w:r>
        <w:rPr>
          <w:rFonts w:hint="eastAsia" w:asciiTheme="minorEastAsia" w:hAnsiTheme="minorEastAsia" w:eastAsiaTheme="minorEastAsia" w:cstheme="minorEastAsia"/>
          <w:b/>
          <w:color w:val="000000"/>
          <w:sz w:val="44"/>
          <w:szCs w:val="44"/>
          <w:highlight w:val="none"/>
          <w:lang w:eastAsia="zh-CN"/>
        </w:rPr>
        <w:t>中水东北公司</w:t>
      </w:r>
      <w:r>
        <w:rPr>
          <w:rFonts w:hint="eastAsia" w:cstheme="minorEastAsia"/>
          <w:b/>
          <w:color w:val="000000"/>
          <w:sz w:val="44"/>
          <w:szCs w:val="44"/>
          <w:highlight w:val="none"/>
          <w:lang w:val="en-US" w:eastAsia="zh-CN"/>
        </w:rPr>
        <w:t>福建省南安抽水蓄能电站第三方试验室装修</w:t>
      </w:r>
      <w:r>
        <w:rPr>
          <w:rFonts w:hint="eastAsia" w:asciiTheme="minorEastAsia" w:hAnsiTheme="minorEastAsia" w:eastAsiaTheme="minorEastAsia" w:cstheme="minorEastAsia"/>
          <w:b/>
          <w:color w:val="000000"/>
          <w:sz w:val="44"/>
          <w:szCs w:val="44"/>
          <w:highlight w:val="none"/>
          <w:lang w:eastAsia="zh-CN"/>
        </w:rPr>
        <w:t>项目</w:t>
      </w:r>
      <w:r>
        <w:rPr>
          <w:rFonts w:hint="default" w:cstheme="minorEastAsia"/>
          <w:b/>
          <w:color w:val="000000"/>
          <w:sz w:val="44"/>
          <w:szCs w:val="44"/>
          <w:highlight w:val="none"/>
          <w:lang w:eastAsia="zh-CN"/>
        </w:rPr>
        <w:t>询价比选</w:t>
      </w:r>
    </w:p>
    <w:p w14:paraId="4717B6DC">
      <w:pPr>
        <w:bidi w:val="0"/>
        <w:jc w:val="center"/>
      </w:pPr>
    </w:p>
    <w:p w14:paraId="0C3CA548">
      <w:pPr>
        <w:bidi w:val="0"/>
        <w:jc w:val="center"/>
        <w:rPr>
          <w:rFonts w:hint="eastAsia"/>
        </w:rPr>
      </w:pPr>
    </w:p>
    <w:p w14:paraId="67F080D8">
      <w:pPr>
        <w:bidi w:val="0"/>
        <w:jc w:val="center"/>
        <w:rPr>
          <w:rFonts w:hint="eastAsia"/>
        </w:rPr>
      </w:pPr>
    </w:p>
    <w:p w14:paraId="2AC4C461">
      <w:pPr>
        <w:bidi w:val="0"/>
        <w:jc w:val="center"/>
        <w:rPr>
          <w:rFonts w:hint="eastAsia"/>
        </w:rPr>
      </w:pPr>
    </w:p>
    <w:p w14:paraId="64C600CE">
      <w:pPr>
        <w:bidi w:val="0"/>
        <w:jc w:val="center"/>
        <w:rPr>
          <w:rFonts w:hint="eastAsia"/>
        </w:rPr>
      </w:pPr>
    </w:p>
    <w:p w14:paraId="61C2F03E">
      <w:pPr>
        <w:bidi w:val="0"/>
        <w:jc w:val="center"/>
        <w:rPr>
          <w:rFonts w:hint="eastAsia"/>
        </w:rPr>
      </w:pPr>
    </w:p>
    <w:p w14:paraId="2644C558">
      <w:pPr>
        <w:bidi w:val="0"/>
        <w:jc w:val="center"/>
        <w:rPr>
          <w:rFonts w:hint="eastAsia"/>
        </w:rPr>
      </w:pPr>
    </w:p>
    <w:p w14:paraId="174CF3E2">
      <w:pPr>
        <w:bidi w:val="0"/>
        <w:jc w:val="center"/>
        <w:rPr>
          <w:rFonts w:hint="eastAsia"/>
        </w:rPr>
      </w:pPr>
    </w:p>
    <w:p w14:paraId="11B0D379">
      <w:pPr>
        <w:bidi w:val="0"/>
        <w:jc w:val="center"/>
        <w:rPr>
          <w:rFonts w:hint="eastAsia"/>
        </w:rPr>
      </w:pPr>
    </w:p>
    <w:p w14:paraId="208874DE">
      <w:pPr>
        <w:bidi w:val="0"/>
        <w:jc w:val="center"/>
        <w:rPr>
          <w:rFonts w:hint="eastAsia"/>
        </w:rPr>
      </w:pPr>
    </w:p>
    <w:p w14:paraId="026548FC">
      <w:pPr>
        <w:bidi w:val="0"/>
        <w:jc w:val="center"/>
        <w:rPr>
          <w:rFonts w:hint="eastAsia"/>
        </w:rPr>
      </w:pPr>
    </w:p>
    <w:p w14:paraId="286F8DA0">
      <w:pPr>
        <w:bidi w:val="0"/>
        <w:jc w:val="center"/>
        <w:rPr>
          <w:rFonts w:hint="eastAsia"/>
        </w:rPr>
      </w:pPr>
    </w:p>
    <w:p w14:paraId="69758B88">
      <w:pPr>
        <w:bidi w:val="0"/>
        <w:jc w:val="center"/>
        <w:rPr>
          <w:rFonts w:hint="eastAsia"/>
        </w:rPr>
      </w:pPr>
    </w:p>
    <w:p w14:paraId="271A4BB6">
      <w:pPr>
        <w:bidi w:val="0"/>
        <w:jc w:val="center"/>
        <w:rPr>
          <w:rFonts w:hint="eastAsia"/>
        </w:rPr>
      </w:pPr>
    </w:p>
    <w:p w14:paraId="18C22D4A">
      <w:pPr>
        <w:bidi w:val="0"/>
        <w:jc w:val="center"/>
        <w:rPr>
          <w:rFonts w:hint="eastAsia"/>
        </w:rPr>
      </w:pPr>
    </w:p>
    <w:p w14:paraId="76492D68">
      <w:pPr>
        <w:bidi w:val="0"/>
        <w:jc w:val="center"/>
        <w:rPr>
          <w:rFonts w:hint="eastAsia"/>
        </w:rPr>
      </w:pPr>
    </w:p>
    <w:p w14:paraId="6A33036E">
      <w:pPr>
        <w:bidi w:val="0"/>
        <w:jc w:val="center"/>
        <w:rPr>
          <w:rFonts w:hint="eastAsia"/>
        </w:rPr>
      </w:pPr>
    </w:p>
    <w:p w14:paraId="1E869382">
      <w:pPr>
        <w:bidi w:val="0"/>
        <w:jc w:val="center"/>
        <w:rPr>
          <w:rFonts w:hint="default"/>
        </w:rPr>
      </w:pPr>
      <w:r>
        <w:rPr>
          <w:rFonts w:hint="default"/>
        </w:rPr>
        <w:t>采购人：中水东北勘测设计研究有限责任公司</w:t>
      </w:r>
    </w:p>
    <w:p w14:paraId="6ADCAA85">
      <w:pPr>
        <w:bidi w:val="0"/>
        <w:jc w:val="center"/>
        <w:rPr>
          <w:rFonts w:hint="default"/>
        </w:rPr>
        <w:sectPr>
          <w:pgSz w:w="11906" w:h="16838"/>
          <w:pgMar w:top="1440" w:right="1800" w:bottom="1440" w:left="1800" w:header="851" w:footer="992" w:gutter="0"/>
          <w:cols w:space="425" w:num="1"/>
          <w:docGrid w:type="lines" w:linePitch="312" w:charSpace="0"/>
        </w:sectPr>
      </w:pPr>
      <w:r>
        <w:rPr>
          <w:rFonts w:hint="default"/>
        </w:rPr>
        <w:t>2025年</w:t>
      </w:r>
      <w:r>
        <w:rPr>
          <w:rFonts w:hint="eastAsia"/>
          <w:lang w:val="en-US" w:eastAsia="zh-CN"/>
        </w:rPr>
        <w:t>10</w:t>
      </w:r>
      <w:r>
        <w:rPr>
          <w:rFonts w:hint="default"/>
        </w:rPr>
        <w:t>月</w:t>
      </w:r>
    </w:p>
    <w:p w14:paraId="78DEA03B">
      <w:pPr>
        <w:bidi w:val="0"/>
        <w:jc w:val="center"/>
        <w:rPr>
          <w:rFonts w:hint="default"/>
        </w:rPr>
      </w:pPr>
    </w:p>
    <w:p w14:paraId="6A875817">
      <w:pPr>
        <w:bidi w:val="0"/>
        <w:jc w:val="center"/>
        <w:rPr>
          <w:rFonts w:hint="default"/>
        </w:rPr>
      </w:pPr>
    </w:p>
    <w:p w14:paraId="5A4BEDBA">
      <w:pPr>
        <w:snapToGrid w:val="0"/>
        <w:spacing w:line="800" w:lineRule="exact"/>
        <w:jc w:val="center"/>
        <w:rPr>
          <w:rFonts w:hint="eastAsia" w:ascii="鸿蒙黑体" w:hAnsi="鸿蒙黑体" w:eastAsia="鸿蒙黑体" w:cs="鸿蒙黑体"/>
          <w:b/>
          <w:color w:val="000000"/>
          <w:sz w:val="44"/>
          <w:szCs w:val="44"/>
          <w:highlight w:val="none"/>
          <w:lang w:eastAsia="zh-CN"/>
        </w:rPr>
      </w:pPr>
      <w:r>
        <w:rPr>
          <w:rFonts w:hint="eastAsia" w:ascii="鸿蒙黑体" w:hAnsi="鸿蒙黑体" w:eastAsia="鸿蒙黑体" w:cs="鸿蒙黑体"/>
          <w:b/>
          <w:color w:val="000000"/>
          <w:sz w:val="44"/>
          <w:szCs w:val="44"/>
          <w:highlight w:val="none"/>
          <w:lang w:eastAsia="zh-CN"/>
        </w:rPr>
        <w:t>目  录</w:t>
      </w:r>
    </w:p>
    <w:p w14:paraId="340EDD2B">
      <w:pPr>
        <w:adjustRightInd w:val="0"/>
        <w:spacing w:line="360" w:lineRule="auto"/>
        <w:ind w:firstLine="880"/>
        <w:jc w:val="center"/>
        <w:rPr>
          <w:rFonts w:ascii="黑体" w:eastAsia="黑体"/>
          <w:color w:val="000000" w:themeColor="text1"/>
          <w:sz w:val="44"/>
          <w:highlight w:val="none"/>
          <w14:textFill>
            <w14:solidFill>
              <w14:schemeClr w14:val="tx1"/>
            </w14:solidFill>
          </w14:textFill>
        </w:rPr>
      </w:pPr>
    </w:p>
    <w:p w14:paraId="1D17A9AE">
      <w:pPr>
        <w:pStyle w:val="21"/>
        <w:adjustRightInd w:val="0"/>
        <w:spacing w:line="360" w:lineRule="auto"/>
        <w:ind w:left="480" w:leftChars="200" w:firstLine="0"/>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第一章  采购公告</w:t>
      </w:r>
    </w:p>
    <w:p w14:paraId="3BB2B685">
      <w:pPr>
        <w:pStyle w:val="21"/>
        <w:adjustRightInd w:val="0"/>
        <w:spacing w:line="360" w:lineRule="auto"/>
        <w:ind w:left="480" w:leftChars="200" w:firstLine="0"/>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第二章  应答人须知</w:t>
      </w:r>
    </w:p>
    <w:p w14:paraId="331C2823">
      <w:pPr>
        <w:pStyle w:val="21"/>
        <w:adjustRightInd w:val="0"/>
        <w:spacing w:line="360" w:lineRule="auto"/>
        <w:ind w:left="480" w:leftChars="200" w:firstLine="0"/>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第三章  合同条款</w:t>
      </w:r>
    </w:p>
    <w:p w14:paraId="5F7C575E">
      <w:pPr>
        <w:pStyle w:val="21"/>
        <w:adjustRightInd w:val="0"/>
        <w:spacing w:line="360" w:lineRule="auto"/>
        <w:ind w:left="480" w:leftChars="200" w:firstLine="0"/>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第</w:t>
      </w:r>
      <w:r>
        <w:rPr>
          <w:rFonts w:hint="default" w:ascii="黑体" w:eastAsia="黑体"/>
          <w:color w:val="000000" w:themeColor="text1"/>
          <w:sz w:val="36"/>
          <w:szCs w:val="36"/>
          <w:highlight w:val="none"/>
          <w14:textFill>
            <w14:solidFill>
              <w14:schemeClr w14:val="tx1"/>
            </w14:solidFill>
          </w14:textFill>
        </w:rPr>
        <w:t>四</w:t>
      </w:r>
      <w:r>
        <w:rPr>
          <w:rFonts w:hint="eastAsia" w:ascii="黑体" w:eastAsia="黑体"/>
          <w:color w:val="000000" w:themeColor="text1"/>
          <w:sz w:val="36"/>
          <w:szCs w:val="36"/>
          <w:highlight w:val="none"/>
          <w14:textFill>
            <w14:solidFill>
              <w14:schemeClr w14:val="tx1"/>
            </w14:solidFill>
          </w14:textFill>
        </w:rPr>
        <w:t xml:space="preserve">章  </w:t>
      </w:r>
      <w:r>
        <w:rPr>
          <w:rFonts w:hint="default" w:ascii="黑体" w:eastAsia="黑体"/>
          <w:color w:val="000000" w:themeColor="text1"/>
          <w:sz w:val="36"/>
          <w:szCs w:val="36"/>
          <w:highlight w:val="none"/>
          <w14:textFill>
            <w14:solidFill>
              <w14:schemeClr w14:val="tx1"/>
            </w14:solidFill>
          </w14:textFill>
        </w:rPr>
        <w:t>工程量清单</w:t>
      </w:r>
    </w:p>
    <w:p w14:paraId="6F58D25A">
      <w:pPr>
        <w:pStyle w:val="21"/>
        <w:adjustRightInd w:val="0"/>
        <w:spacing w:line="360" w:lineRule="auto"/>
        <w:ind w:left="480" w:leftChars="200" w:firstLine="0"/>
        <w:rPr>
          <w:rFonts w:hint="default"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第</w:t>
      </w:r>
      <w:r>
        <w:rPr>
          <w:rFonts w:hint="default" w:ascii="黑体" w:eastAsia="黑体"/>
          <w:color w:val="000000" w:themeColor="text1"/>
          <w:sz w:val="36"/>
          <w:szCs w:val="36"/>
          <w:highlight w:val="none"/>
          <w14:textFill>
            <w14:solidFill>
              <w14:schemeClr w14:val="tx1"/>
            </w14:solidFill>
          </w14:textFill>
        </w:rPr>
        <w:t>五</w:t>
      </w:r>
      <w:r>
        <w:rPr>
          <w:rFonts w:hint="eastAsia" w:ascii="黑体" w:eastAsia="黑体"/>
          <w:color w:val="000000" w:themeColor="text1"/>
          <w:sz w:val="36"/>
          <w:szCs w:val="36"/>
          <w:highlight w:val="none"/>
          <w14:textFill>
            <w14:solidFill>
              <w14:schemeClr w14:val="tx1"/>
            </w14:solidFill>
          </w14:textFill>
        </w:rPr>
        <w:t xml:space="preserve">章  </w:t>
      </w:r>
      <w:r>
        <w:rPr>
          <w:rFonts w:hint="default" w:ascii="黑体" w:eastAsia="黑体"/>
          <w:color w:val="000000" w:themeColor="text1"/>
          <w:sz w:val="36"/>
          <w:szCs w:val="36"/>
          <w:highlight w:val="none"/>
          <w14:textFill>
            <w14:solidFill>
              <w14:schemeClr w14:val="tx1"/>
            </w14:solidFill>
          </w14:textFill>
        </w:rPr>
        <w:t>采购标准和要求</w:t>
      </w:r>
    </w:p>
    <w:p w14:paraId="6A76D080">
      <w:pPr>
        <w:pStyle w:val="21"/>
        <w:adjustRightInd w:val="0"/>
        <w:spacing w:line="360" w:lineRule="auto"/>
        <w:ind w:left="480" w:leftChars="200" w:firstLine="0"/>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第</w:t>
      </w:r>
      <w:r>
        <w:rPr>
          <w:rFonts w:hint="default" w:ascii="黑体" w:eastAsia="黑体"/>
          <w:color w:val="000000" w:themeColor="text1"/>
          <w:sz w:val="36"/>
          <w:szCs w:val="36"/>
          <w:highlight w:val="none"/>
          <w14:textFill>
            <w14:solidFill>
              <w14:schemeClr w14:val="tx1"/>
            </w14:solidFill>
          </w14:textFill>
        </w:rPr>
        <w:t>六</w:t>
      </w:r>
      <w:r>
        <w:rPr>
          <w:rFonts w:hint="eastAsia" w:ascii="黑体" w:eastAsia="黑体"/>
          <w:color w:val="000000" w:themeColor="text1"/>
          <w:sz w:val="36"/>
          <w:szCs w:val="36"/>
          <w:highlight w:val="none"/>
          <w14:textFill>
            <w14:solidFill>
              <w14:schemeClr w14:val="tx1"/>
            </w14:solidFill>
          </w14:textFill>
        </w:rPr>
        <w:t>章  应答文件格式</w:t>
      </w:r>
    </w:p>
    <w:p w14:paraId="750E264A">
      <w:pPr>
        <w:bidi w:val="0"/>
        <w:jc w:val="center"/>
        <w:rPr>
          <w:rFonts w:hint="default"/>
        </w:rPr>
        <w:sectPr>
          <w:pgSz w:w="11906" w:h="16838"/>
          <w:pgMar w:top="1440" w:right="1800" w:bottom="1440" w:left="1800" w:header="851" w:footer="992" w:gutter="0"/>
          <w:cols w:space="425" w:num="1"/>
          <w:docGrid w:type="lines" w:linePitch="312" w:charSpace="0"/>
        </w:sectPr>
      </w:pPr>
    </w:p>
    <w:p w14:paraId="35EA319B">
      <w:pPr>
        <w:adjustRightInd w:val="0"/>
        <w:snapToGrid w:val="0"/>
        <w:jc w:val="center"/>
        <w:outlineLvl w:val="0"/>
        <w:rPr>
          <w:rFonts w:ascii="黑体" w:hAnsi="黑体" w:eastAsia="黑体" w:cstheme="minorEastAsia"/>
          <w:b/>
          <w:color w:val="000000" w:themeColor="text1"/>
          <w:sz w:val="28"/>
          <w:szCs w:val="21"/>
          <w:highlight w:val="none"/>
          <w14:textFill>
            <w14:solidFill>
              <w14:schemeClr w14:val="tx1"/>
            </w14:solidFill>
          </w14:textFill>
        </w:rPr>
      </w:pPr>
      <w:r>
        <w:rPr>
          <w:rFonts w:hint="eastAsia" w:ascii="黑体" w:hAnsi="黑体" w:eastAsia="黑体" w:cstheme="minorEastAsia"/>
          <w:b/>
          <w:color w:val="000000" w:themeColor="text1"/>
          <w:sz w:val="28"/>
          <w:szCs w:val="21"/>
          <w:highlight w:val="none"/>
          <w14:textFill>
            <w14:solidFill>
              <w14:schemeClr w14:val="tx1"/>
            </w14:solidFill>
          </w14:textFill>
        </w:rPr>
        <w:t>第一章  采购公告</w:t>
      </w:r>
    </w:p>
    <w:p w14:paraId="561982B4">
      <w:pPr>
        <w:adjustRightInd w:val="0"/>
        <w:snapToGrid w:val="0"/>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B39F1EA">
      <w:pPr>
        <w:adjustRightInd w:val="0"/>
        <w:snapToGrid w:val="0"/>
        <w:jc w:val="center"/>
        <w:rPr>
          <w:rFonts w:hint="default" w:ascii="黑体" w:eastAsia="黑体"/>
          <w:color w:val="FF0000"/>
          <w:sz w:val="28"/>
          <w:szCs w:val="28"/>
          <w:highlight w:val="none"/>
          <w:lang w:eastAsia="zh-CN"/>
        </w:rPr>
      </w:pPr>
      <w:bookmarkStart w:id="0" w:name="_Toc11594"/>
      <w:r>
        <w:rPr>
          <w:rFonts w:hint="eastAsia" w:ascii="黑体" w:eastAsia="黑体"/>
          <w:color w:val="000000"/>
          <w:sz w:val="28"/>
          <w:szCs w:val="28"/>
          <w:highlight w:val="none"/>
          <w:lang w:eastAsia="zh-CN"/>
        </w:rPr>
        <w:t>中水东北公司福建省南安抽水蓄能电站第三方试验室装修</w:t>
      </w:r>
      <w:r>
        <w:rPr>
          <w:rFonts w:hint="default" w:ascii="黑体" w:eastAsia="黑体"/>
          <w:color w:val="000000"/>
          <w:sz w:val="28"/>
          <w:szCs w:val="28"/>
          <w:highlight w:val="none"/>
          <w:lang w:eastAsia="zh-CN"/>
        </w:rPr>
        <w:t>询价比选</w:t>
      </w:r>
    </w:p>
    <w:bookmarkEnd w:id="0"/>
    <w:p w14:paraId="667FCC8E">
      <w:pPr>
        <w:adjustRightInd w:val="0"/>
        <w:snapToGrid w:val="0"/>
        <w:jc w:val="center"/>
        <w:rPr>
          <w:rFonts w:ascii="黑体" w:hAnsi="黑体" w:eastAsia="黑体" w:cstheme="minorEastAsia"/>
          <w:color w:val="000000" w:themeColor="text1"/>
          <w:sz w:val="28"/>
          <w:szCs w:val="21"/>
          <w:highlight w:val="none"/>
          <w14:textFill>
            <w14:solidFill>
              <w14:schemeClr w14:val="tx1"/>
            </w14:solidFill>
          </w14:textFill>
        </w:rPr>
      </w:pPr>
      <w:bookmarkStart w:id="1" w:name="_Toc160"/>
      <w:r>
        <w:rPr>
          <w:rFonts w:hint="eastAsia" w:ascii="黑体" w:hAnsi="黑体" w:eastAsia="黑体" w:cstheme="minorEastAsia"/>
          <w:color w:val="000000" w:themeColor="text1"/>
          <w:sz w:val="28"/>
          <w:szCs w:val="21"/>
          <w:highlight w:val="none"/>
          <w14:textFill>
            <w14:solidFill>
              <w14:schemeClr w14:val="tx1"/>
            </w14:solidFill>
          </w14:textFill>
        </w:rPr>
        <w:t>采购公告</w:t>
      </w:r>
      <w:bookmarkEnd w:id="1"/>
    </w:p>
    <w:p w14:paraId="2AB44F15">
      <w:pPr>
        <w:widowControl/>
        <w:adjustRightInd w:val="0"/>
        <w:snapToGrid w:val="0"/>
        <w:spacing w:before="317" w:beforeLines="100" w:after="158" w:afterLines="50" w:line="400" w:lineRule="exact"/>
        <w:jc w:val="left"/>
        <w:outlineLvl w:val="1"/>
        <w:rPr>
          <w:rFonts w:ascii="黑体" w:eastAsia="黑体" w:hAnsiTheme="majorHAnsi" w:cstheme="majorBidi"/>
          <w:b/>
          <w:color w:val="000000" w:themeColor="text1"/>
          <w:kern w:val="0"/>
          <w:sz w:val="24"/>
          <w:highlight w:val="none"/>
          <w:lang w:bidi="en-US"/>
          <w14:textFill>
            <w14:solidFill>
              <w14:schemeClr w14:val="tx1"/>
            </w14:solidFill>
          </w14:textFill>
        </w:rPr>
      </w:pPr>
      <w:bookmarkStart w:id="2" w:name="_Toc11488"/>
      <w:bookmarkStart w:id="3" w:name="_Toc62566117"/>
      <w:bookmarkStart w:id="4" w:name="_Toc7788"/>
      <w:r>
        <w:rPr>
          <w:rFonts w:hint="eastAsia" w:ascii="黑体" w:eastAsia="黑体" w:hAnsiTheme="majorHAnsi" w:cstheme="majorBidi"/>
          <w:b/>
          <w:color w:val="000000" w:themeColor="text1"/>
          <w:kern w:val="0"/>
          <w:sz w:val="24"/>
          <w:highlight w:val="none"/>
          <w:lang w:bidi="en-US"/>
          <w14:textFill>
            <w14:solidFill>
              <w14:schemeClr w14:val="tx1"/>
            </w14:solidFill>
          </w14:textFill>
        </w:rPr>
        <w:t>1.采购条件</w:t>
      </w:r>
      <w:bookmarkEnd w:id="2"/>
      <w:bookmarkEnd w:id="3"/>
      <w:bookmarkEnd w:id="4"/>
    </w:p>
    <w:p w14:paraId="7D8647CD">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项目建设单位为</w:t>
      </w:r>
      <w:r>
        <w:rPr>
          <w:rFonts w:hint="default" w:ascii="宋体" w:hAnsi="宋体"/>
          <w:color w:val="000000"/>
          <w:highlight w:val="none"/>
          <w:lang w:eastAsia="zh-CN"/>
        </w:rPr>
        <w:t>中水东北勘测设计研究有限责任</w:t>
      </w:r>
      <w:r>
        <w:rPr>
          <w:rFonts w:hint="eastAsia" w:ascii="宋体" w:hAnsi="宋体"/>
          <w:color w:val="000000"/>
          <w:highlight w:val="none"/>
          <w:lang w:eastAsia="zh-CN"/>
        </w:rPr>
        <w:t>公司</w:t>
      </w:r>
      <w:r>
        <w:rPr>
          <w:rFonts w:hint="eastAsia" w:ascii="宋体" w:hAnsi="宋体"/>
          <w:color w:val="000000" w:themeColor="text1"/>
          <w:highlight w:val="none"/>
          <w14:textFill>
            <w14:solidFill>
              <w14:schemeClr w14:val="tx1"/>
            </w14:solidFill>
          </w14:textFill>
        </w:rPr>
        <w:t>（以下简称“</w:t>
      </w:r>
      <w:r>
        <w:rPr>
          <w:rFonts w:hint="default" w:ascii="宋体" w:hAnsi="宋体"/>
          <w:color w:val="000000" w:themeColor="text1"/>
          <w:highlight w:val="none"/>
          <w14:textFill>
            <w14:solidFill>
              <w14:schemeClr w14:val="tx1"/>
            </w14:solidFill>
          </w14:textFill>
        </w:rPr>
        <w:t>中水东北公司</w:t>
      </w:r>
      <w:r>
        <w:rPr>
          <w:rFonts w:hint="eastAsia" w:ascii="宋体" w:hAnsi="宋体"/>
          <w:color w:val="000000" w:themeColor="text1"/>
          <w:highlight w:val="none"/>
          <w14:textFill>
            <w14:solidFill>
              <w14:schemeClr w14:val="tx1"/>
            </w14:solidFill>
          </w14:textFill>
        </w:rPr>
        <w:t>”），项目资金来自</w:t>
      </w:r>
      <w:r>
        <w:rPr>
          <w:rFonts w:hint="eastAsia" w:ascii="宋体" w:hAnsi="宋体"/>
          <w:highlight w:val="none"/>
        </w:rPr>
        <w:t>企业自有资金，出资比例为100%</w:t>
      </w:r>
      <w:r>
        <w:rPr>
          <w:rFonts w:hint="eastAsia" w:ascii="宋体" w:hAnsi="宋体"/>
          <w:color w:val="000000" w:themeColor="text1"/>
          <w:highlight w:val="none"/>
          <w14:textFill>
            <w14:solidFill>
              <w14:schemeClr w14:val="tx1"/>
            </w14:solidFill>
          </w14:textFill>
        </w:rPr>
        <w:t>，资金来源已落实，采购人为</w:t>
      </w:r>
      <w:r>
        <w:rPr>
          <w:rFonts w:hint="default" w:ascii="宋体" w:hAnsi="宋体"/>
          <w:color w:val="000000"/>
          <w:highlight w:val="none"/>
          <w:lang w:eastAsia="zh-CN"/>
        </w:rPr>
        <w:t>中水东北勘测设计研究有限责任</w:t>
      </w:r>
      <w:r>
        <w:rPr>
          <w:rFonts w:hint="eastAsia" w:ascii="宋体" w:hAnsi="宋体"/>
          <w:color w:val="000000"/>
          <w:highlight w:val="none"/>
          <w:lang w:eastAsia="zh-CN"/>
        </w:rPr>
        <w:t>公司</w:t>
      </w:r>
      <w:r>
        <w:rPr>
          <w:rFonts w:hint="eastAsia" w:ascii="宋体" w:hAnsi="宋体"/>
          <w:color w:val="000000" w:themeColor="text1"/>
          <w:highlight w:val="none"/>
          <w14:textFill>
            <w14:solidFill>
              <w14:schemeClr w14:val="tx1"/>
            </w14:solidFill>
          </w14:textFill>
        </w:rPr>
        <w:t>。项目已具备采购条件，现对该项目进行</w:t>
      </w:r>
      <w:r>
        <w:rPr>
          <w:rFonts w:hint="default" w:ascii="宋体" w:hAnsi="宋体"/>
          <w:color w:val="000000" w:themeColor="text1"/>
          <w:highlight w:val="none"/>
          <w14:textFill>
            <w14:solidFill>
              <w14:schemeClr w14:val="tx1"/>
            </w14:solidFill>
          </w14:textFill>
        </w:rPr>
        <w:t>询比</w:t>
      </w:r>
      <w:r>
        <w:rPr>
          <w:rFonts w:hint="eastAsia" w:ascii="宋体" w:hAnsi="宋体"/>
          <w:color w:val="000000" w:themeColor="text1"/>
          <w:highlight w:val="none"/>
          <w14:textFill>
            <w14:solidFill>
              <w14:schemeClr w14:val="tx1"/>
            </w14:solidFill>
          </w14:textFill>
        </w:rPr>
        <w:t>采购。</w:t>
      </w:r>
    </w:p>
    <w:p w14:paraId="6E73E2B4">
      <w:pPr>
        <w:widowControl/>
        <w:adjustRightInd w:val="0"/>
        <w:snapToGrid w:val="0"/>
        <w:spacing w:before="317" w:beforeLines="100" w:after="158" w:afterLines="50" w:line="400" w:lineRule="exact"/>
        <w:jc w:val="left"/>
        <w:outlineLvl w:val="1"/>
        <w:rPr>
          <w:rFonts w:ascii="黑体" w:eastAsia="黑体" w:hAnsiTheme="majorHAnsi" w:cstheme="majorBidi"/>
          <w:b/>
          <w:color w:val="000000" w:themeColor="text1"/>
          <w:kern w:val="0"/>
          <w:sz w:val="24"/>
          <w:highlight w:val="none"/>
          <w:lang w:bidi="en-US"/>
          <w14:textFill>
            <w14:solidFill>
              <w14:schemeClr w14:val="tx1"/>
            </w14:solidFill>
          </w14:textFill>
        </w:rPr>
      </w:pPr>
      <w:bookmarkStart w:id="5" w:name="_Toc15047"/>
      <w:bookmarkStart w:id="6" w:name="_Toc31701"/>
      <w:bookmarkStart w:id="7" w:name="_Toc62566118"/>
      <w:r>
        <w:rPr>
          <w:rFonts w:hint="eastAsia" w:ascii="黑体" w:eastAsia="黑体" w:hAnsiTheme="majorHAnsi" w:cstheme="majorBidi"/>
          <w:b/>
          <w:color w:val="000000" w:themeColor="text1"/>
          <w:kern w:val="0"/>
          <w:sz w:val="24"/>
          <w:highlight w:val="none"/>
          <w:lang w:bidi="en-US"/>
          <w14:textFill>
            <w14:solidFill>
              <w14:schemeClr w14:val="tx1"/>
            </w14:solidFill>
          </w14:textFill>
        </w:rPr>
        <w:t>2.</w:t>
      </w:r>
      <w:bookmarkEnd w:id="5"/>
      <w:bookmarkEnd w:id="6"/>
      <w:bookmarkEnd w:id="7"/>
      <w:r>
        <w:rPr>
          <w:rFonts w:hint="eastAsia" w:ascii="黑体" w:eastAsia="黑体"/>
          <w:b/>
          <w:color w:val="000000" w:themeColor="text1"/>
          <w:sz w:val="24"/>
          <w:highlight w:val="none"/>
          <w14:textFill>
            <w14:solidFill>
              <w14:schemeClr w14:val="tx1"/>
            </w14:solidFill>
          </w14:textFill>
        </w:rPr>
        <w:t>项目概况与采购范围</w:t>
      </w:r>
    </w:p>
    <w:p w14:paraId="4F45825E">
      <w:pPr>
        <w:adjustRightInd w:val="0"/>
        <w:snapToGrid w:val="0"/>
        <w:spacing w:line="400" w:lineRule="exact"/>
        <w:ind w:firstLine="48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详见采购公告附件</w:t>
      </w:r>
      <w:r>
        <w:rPr>
          <w:rFonts w:hint="eastAsia" w:ascii="宋体" w:hAnsi="宋体"/>
          <w:color w:val="000000" w:themeColor="text1"/>
          <w:highlight w:val="none"/>
          <w14:textFill>
            <w14:solidFill>
              <w14:schemeClr w14:val="tx1"/>
            </w14:solidFill>
          </w14:textFill>
        </w:rPr>
        <w:t>。</w:t>
      </w:r>
    </w:p>
    <w:p w14:paraId="0D899E93">
      <w:pPr>
        <w:widowControl/>
        <w:adjustRightInd w:val="0"/>
        <w:snapToGrid w:val="0"/>
        <w:spacing w:before="317" w:beforeLines="100" w:after="158" w:afterLines="50" w:line="400" w:lineRule="exact"/>
        <w:jc w:val="left"/>
        <w:outlineLvl w:val="1"/>
        <w:rPr>
          <w:rFonts w:ascii="黑体" w:eastAsia="黑体" w:hAnsiTheme="majorHAnsi" w:cstheme="majorBidi"/>
          <w:b/>
          <w:color w:val="000000" w:themeColor="text1"/>
          <w:kern w:val="0"/>
          <w:sz w:val="24"/>
          <w:highlight w:val="none"/>
          <w:lang w:bidi="en-US"/>
          <w14:textFill>
            <w14:solidFill>
              <w14:schemeClr w14:val="tx1"/>
            </w14:solidFill>
          </w14:textFill>
        </w:rPr>
      </w:pPr>
      <w:r>
        <w:rPr>
          <w:rFonts w:hint="eastAsia" w:ascii="黑体" w:eastAsia="黑体" w:hAnsiTheme="majorHAnsi" w:cstheme="majorBidi"/>
          <w:b/>
          <w:color w:val="000000" w:themeColor="text1"/>
          <w:kern w:val="0"/>
          <w:sz w:val="24"/>
          <w:highlight w:val="none"/>
          <w:lang w:bidi="en-US"/>
          <w14:textFill>
            <w14:solidFill>
              <w14:schemeClr w14:val="tx1"/>
            </w14:solidFill>
          </w14:textFill>
        </w:rPr>
        <w:t>3.应答人资格要求</w:t>
      </w:r>
    </w:p>
    <w:p w14:paraId="6F600A7D">
      <w:pPr>
        <w:adjustRightInd w:val="0"/>
        <w:snapToGrid w:val="0"/>
        <w:spacing w:line="400" w:lineRule="exact"/>
        <w:ind w:firstLine="482" w:firstLineChars="20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3.1</w:t>
      </w:r>
      <w:r>
        <w:rPr>
          <w:rFonts w:hint="eastAsia" w:ascii="宋体" w:hAnsi="宋体"/>
          <w:b/>
          <w:color w:val="000000" w:themeColor="text1"/>
          <w:highlight w:val="none"/>
          <w14:textFill>
            <w14:solidFill>
              <w14:schemeClr w14:val="tx1"/>
            </w14:solidFill>
          </w14:textFill>
        </w:rPr>
        <w:t xml:space="preserve"> 应答人须满足如下通用资格要求：</w:t>
      </w:r>
    </w:p>
    <w:p w14:paraId="0B1C7AB3">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（1）本次采购要求应答人须为中华人民共和国境内依法注册的法人或</w:t>
      </w:r>
      <w:r>
        <w:rPr>
          <w:rFonts w:hint="eastAsia" w:ascii="宋体" w:hAnsi="宋体"/>
          <w:color w:val="000000" w:themeColor="text1"/>
          <w:highlight w:val="none"/>
          <w:lang w:eastAsia="zh-CN"/>
          <w14:textFill>
            <w14:solidFill>
              <w14:schemeClr w14:val="tx1"/>
            </w14:solidFill>
          </w14:textFill>
        </w:rPr>
        <w:t>其他</w:t>
      </w:r>
      <w:r>
        <w:rPr>
          <w:rFonts w:hint="eastAsia" w:ascii="宋体" w:hAnsi="宋体"/>
          <w:color w:val="000000" w:themeColor="text1"/>
          <w:highlight w:val="none"/>
          <w14:textFill>
            <w14:solidFill>
              <w14:schemeClr w14:val="tx1"/>
            </w14:solidFill>
          </w14:textFill>
        </w:rPr>
        <w:t>组织，须具备承担所应答项目的资格条件；并在人员、设备、资金等方面具有保障如期完成采购项目的能力。</w:t>
      </w:r>
    </w:p>
    <w:p w14:paraId="1133FFA1">
      <w:pPr>
        <w:adjustRightInd w:val="0"/>
        <w:snapToGrid w:val="0"/>
        <w:spacing w:line="400" w:lineRule="exact"/>
        <w:ind w:firstLine="48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（2）法定代表人或单位负责人为同一人或者存在控股、管理关系的不同单位，不得参加同一采购项目应答</w:t>
      </w:r>
      <w:r>
        <w:rPr>
          <w:rFonts w:hint="eastAsia" w:ascii="宋体" w:hAnsi="宋体"/>
          <w:color w:val="000000" w:themeColor="text1"/>
          <w:highlight w:val="none"/>
          <w:lang w:eastAsia="zh-CN"/>
          <w14:textFill>
            <w14:solidFill>
              <w14:schemeClr w14:val="tx1"/>
            </w14:solidFill>
          </w14:textFill>
        </w:rPr>
        <w:t>。</w:t>
      </w:r>
    </w:p>
    <w:p w14:paraId="510463DC">
      <w:pPr>
        <w:adjustRightInd w:val="0"/>
        <w:snapToGrid w:val="0"/>
        <w:spacing w:line="400" w:lineRule="exact"/>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取得国家法律、法规、部门规章规定的有效许可证。取得采购文件要求的国家强制认证证书</w:t>
      </w:r>
      <w:r>
        <w:rPr>
          <w:rFonts w:hint="eastAsia" w:ascii="宋体" w:hAnsi="宋体"/>
          <w:color w:val="000000" w:themeColor="text1"/>
          <w:highlight w:val="none"/>
          <w14:textFill>
            <w14:solidFill>
              <w14:schemeClr w14:val="tx1"/>
            </w14:solidFill>
          </w14:textFill>
        </w:rPr>
        <w:t>。</w:t>
      </w:r>
    </w:p>
    <w:p w14:paraId="0133EFFE">
      <w:pPr>
        <w:adjustRightInd w:val="0"/>
        <w:snapToGrid w:val="0"/>
        <w:spacing w:line="400" w:lineRule="exact"/>
        <w:ind w:firstLine="48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）应有良好的财务状况和商业信用。</w:t>
      </w:r>
    </w:p>
    <w:p w14:paraId="2A2FFDDC">
      <w:pPr>
        <w:adjustRightInd w:val="0"/>
        <w:snapToGrid w:val="0"/>
        <w:spacing w:line="400" w:lineRule="exact"/>
        <w:ind w:firstLine="480" w:firstLineChars="20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default"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）根据最高人民法院、国家发展改革委、国家铁路局等九部门联合印发的《关于在招标投标活动中对失信被执行人实施联合惩戒的通知》（法〔2016〕285号），应答人不得被人民法院列为</w:t>
      </w:r>
      <w:r>
        <w:rPr>
          <w:rFonts w:hint="eastAsia" w:ascii="宋体" w:hAnsi="宋体"/>
          <w:color w:val="000000" w:themeColor="text1"/>
          <w:highlight w:val="none"/>
          <w:lang w:val="en-US" w:eastAsia="zh-CN"/>
          <w14:textFill>
            <w14:solidFill>
              <w14:schemeClr w14:val="tx1"/>
            </w14:solidFill>
          </w14:textFill>
        </w:rPr>
        <w:t>失信被执行人</w:t>
      </w:r>
      <w:r>
        <w:rPr>
          <w:rFonts w:hint="eastAsia" w:ascii="宋体" w:hAnsi="宋体"/>
          <w:color w:val="000000" w:themeColor="text1"/>
          <w:highlight w:val="none"/>
          <w14:textFill>
            <w14:solidFill>
              <w14:schemeClr w14:val="tx1"/>
            </w14:solidFill>
          </w14:textFill>
        </w:rPr>
        <w:t>。应答人不得存在违法失信行为，</w:t>
      </w:r>
      <w:r>
        <w:rPr>
          <w:rFonts w:hint="eastAsia" w:ascii="宋体" w:hAnsi="宋体"/>
          <w:color w:val="000000" w:themeColor="text1"/>
          <w:highlight w:val="none"/>
          <w:lang w:val="en-US" w:eastAsia="zh-CN"/>
          <w14:textFill>
            <w14:solidFill>
              <w14:schemeClr w14:val="tx1"/>
            </w14:solidFill>
          </w14:textFill>
        </w:rPr>
        <w:t>不得被列入失信被执行人，</w:t>
      </w:r>
      <w:r>
        <w:rPr>
          <w:rFonts w:hint="eastAsia" w:ascii="宋体" w:hAnsi="宋体"/>
          <w:color w:val="000000" w:themeColor="text1"/>
          <w:highlight w:val="none"/>
          <w14:textFill>
            <w14:solidFill>
              <w14:schemeClr w14:val="tx1"/>
            </w14:solidFill>
          </w14:textFill>
        </w:rPr>
        <w:t>不得被“信用中国”网站（www.creditchina.gov.cn）列入严重失信主体名单</w:t>
      </w:r>
      <w:r>
        <w:rPr>
          <w:rFonts w:hint="eastAsia" w:ascii="宋体" w:hAnsi="宋体"/>
          <w:color w:val="000000" w:themeColor="text1"/>
          <w:highlight w:val="none"/>
          <w:lang w:eastAsia="zh-CN"/>
          <w14:textFill>
            <w14:solidFill>
              <w14:schemeClr w14:val="tx1"/>
            </w14:solidFill>
          </w14:textFill>
        </w:rPr>
        <w:t>。</w:t>
      </w:r>
    </w:p>
    <w:p w14:paraId="69F6B912">
      <w:pPr>
        <w:tabs>
          <w:tab w:val="left" w:pos="1134"/>
        </w:tabs>
        <w:adjustRightInd w:val="0"/>
        <w:snapToGrid w:val="0"/>
        <w:spacing w:line="400" w:lineRule="exact"/>
        <w:ind w:firstLine="480" w:firstLineChars="200"/>
        <w:rPr>
          <w:rFonts w:hint="eastAsia" w:ascii="宋体" w:hAnsi="宋体"/>
          <w:color w:val="auto"/>
          <w:highlight w:val="none"/>
        </w:rPr>
      </w:pPr>
      <w:r>
        <w:rPr>
          <w:rFonts w:hint="eastAsia" w:ascii="宋体" w:hAnsi="宋体"/>
          <w:color w:val="000000" w:themeColor="text1"/>
          <w:highlight w:val="none"/>
          <w14:textFill>
            <w14:solidFill>
              <w14:schemeClr w14:val="tx1"/>
            </w14:solidFill>
          </w14:textFill>
        </w:rPr>
        <w:t>（</w:t>
      </w:r>
      <w:r>
        <w:rPr>
          <w:rFonts w:hint="default"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）应答人不得被市场监督管理机关在国家企业信用信息公示系统中列入严重违法失信企业名单或列入经营异常名录信息。</w:t>
      </w:r>
      <w:r>
        <w:rPr>
          <w:rFonts w:hint="eastAsia" w:ascii="宋体" w:hAnsi="宋体"/>
          <w:color w:val="auto"/>
          <w:highlight w:val="none"/>
          <w:lang w:eastAsia="zh-CN"/>
        </w:rPr>
        <w:t>应答人需同时在商务文件中提供在国家企业信用信息公示系统（www.gsxt.gov.cn）查询的，包含“营业执照信息”、“列入严重违法失信企业名单（黑名单）”、“列入经营异常名录信息”、“行政处罚信息”、“清算信息”的查询结果，</w:t>
      </w:r>
      <w:r>
        <w:rPr>
          <w:rFonts w:hint="eastAsia" w:ascii="宋体" w:hAnsi="宋体"/>
          <w:color w:val="auto"/>
          <w:highlight w:val="none"/>
        </w:rPr>
        <w:t>如</w:t>
      </w:r>
      <w:r>
        <w:rPr>
          <w:rFonts w:hint="eastAsia" w:ascii="宋体" w:hAnsi="宋体"/>
          <w:color w:val="auto"/>
          <w:highlight w:val="none"/>
          <w:lang w:eastAsia="zh-CN"/>
        </w:rPr>
        <w:t>应答人</w:t>
      </w:r>
      <w:r>
        <w:rPr>
          <w:rFonts w:hint="eastAsia" w:ascii="宋体" w:hAnsi="宋体"/>
          <w:color w:val="auto"/>
          <w:highlight w:val="none"/>
        </w:rPr>
        <w:t>未提供企业信用信息公示报告，或提供的报告不符合</w:t>
      </w:r>
      <w:r>
        <w:rPr>
          <w:rFonts w:hint="eastAsia" w:ascii="宋体" w:hAnsi="宋体"/>
          <w:color w:val="auto"/>
          <w:highlight w:val="none"/>
          <w:lang w:eastAsia="zh-CN"/>
        </w:rPr>
        <w:t>采购文件</w:t>
      </w:r>
      <w:r>
        <w:rPr>
          <w:rFonts w:hint="eastAsia" w:ascii="宋体" w:hAnsi="宋体"/>
          <w:color w:val="auto"/>
          <w:highlight w:val="none"/>
        </w:rPr>
        <w:t>规定的格式与内容，或报告内容被</w:t>
      </w:r>
      <w:r>
        <w:rPr>
          <w:rFonts w:hint="default" w:ascii="宋体" w:hAnsi="宋体"/>
          <w:color w:val="auto"/>
          <w:highlight w:val="none"/>
          <w:lang w:eastAsia="zh-CN"/>
        </w:rPr>
        <w:t>评审小组</w:t>
      </w:r>
      <w:r>
        <w:rPr>
          <w:rFonts w:hint="eastAsia" w:ascii="宋体" w:hAnsi="宋体"/>
          <w:color w:val="auto"/>
          <w:highlight w:val="none"/>
        </w:rPr>
        <w:t>认定有异议的，</w:t>
      </w:r>
      <w:r>
        <w:rPr>
          <w:rFonts w:hint="eastAsia" w:ascii="宋体" w:hAnsi="宋体"/>
          <w:color w:val="auto"/>
          <w:highlight w:val="none"/>
          <w:lang w:eastAsia="zh-CN"/>
        </w:rPr>
        <w:t>应答人</w:t>
      </w:r>
      <w:r>
        <w:rPr>
          <w:rFonts w:hint="eastAsia" w:ascii="宋体" w:hAnsi="宋体"/>
          <w:color w:val="auto"/>
          <w:highlight w:val="none"/>
        </w:rPr>
        <w:t>的“列入经营异常名录信息”和“列入严重违法失信企业名单（黑名单）信息”以</w:t>
      </w:r>
      <w:r>
        <w:rPr>
          <w:rFonts w:hint="default" w:ascii="宋体" w:hAnsi="宋体"/>
          <w:color w:val="auto"/>
          <w:highlight w:val="none"/>
          <w:lang w:eastAsia="zh-CN"/>
        </w:rPr>
        <w:t>评审小组</w:t>
      </w:r>
      <w:r>
        <w:rPr>
          <w:rFonts w:hint="eastAsia" w:ascii="宋体" w:hAnsi="宋体"/>
          <w:color w:val="auto"/>
          <w:highlight w:val="none"/>
        </w:rPr>
        <w:t>在国家企业信用信息公示系统（www.gsxt.gov.cn）查询的结果为准。</w:t>
      </w:r>
      <w:r>
        <w:rPr>
          <w:rFonts w:hint="eastAsia" w:ascii="宋体" w:hAnsi="宋体"/>
          <w:color w:val="auto"/>
          <w:highlight w:val="none"/>
          <w:lang w:eastAsia="zh-CN"/>
        </w:rPr>
        <w:t>应答人</w:t>
      </w:r>
      <w:r>
        <w:rPr>
          <w:rFonts w:hint="eastAsia" w:ascii="宋体" w:hAnsi="宋体"/>
          <w:color w:val="auto"/>
          <w:highlight w:val="none"/>
        </w:rPr>
        <w:t>未提供或提供的企业信用信息公示报告不符合</w:t>
      </w:r>
      <w:r>
        <w:rPr>
          <w:rFonts w:hint="eastAsia" w:ascii="宋体" w:hAnsi="宋体"/>
          <w:color w:val="auto"/>
          <w:highlight w:val="none"/>
          <w:lang w:eastAsia="zh-CN"/>
        </w:rPr>
        <w:t>采购文件</w:t>
      </w:r>
      <w:r>
        <w:rPr>
          <w:rFonts w:hint="eastAsia" w:ascii="宋体" w:hAnsi="宋体"/>
          <w:color w:val="auto"/>
          <w:highlight w:val="none"/>
        </w:rPr>
        <w:t>规定的格式与内容的，</w:t>
      </w:r>
      <w:r>
        <w:rPr>
          <w:rFonts w:hint="default" w:ascii="宋体" w:hAnsi="宋体"/>
          <w:color w:val="auto"/>
          <w:highlight w:val="none"/>
          <w:lang w:eastAsia="zh-CN"/>
        </w:rPr>
        <w:t>评审小组</w:t>
      </w:r>
      <w:r>
        <w:rPr>
          <w:rFonts w:hint="eastAsia" w:ascii="宋体" w:hAnsi="宋体"/>
          <w:color w:val="auto"/>
          <w:highlight w:val="none"/>
        </w:rPr>
        <w:t>将会对</w:t>
      </w:r>
      <w:r>
        <w:rPr>
          <w:rFonts w:hint="eastAsia" w:ascii="宋体" w:hAnsi="宋体"/>
          <w:color w:val="auto"/>
          <w:highlight w:val="none"/>
          <w:lang w:eastAsia="zh-CN"/>
        </w:rPr>
        <w:t>应答人</w:t>
      </w:r>
      <w:r>
        <w:rPr>
          <w:rFonts w:hint="eastAsia" w:ascii="宋体" w:hAnsi="宋体"/>
          <w:color w:val="auto"/>
          <w:highlight w:val="none"/>
        </w:rPr>
        <w:t>进行不利评价。</w:t>
      </w:r>
      <w:r>
        <w:rPr>
          <w:rFonts w:hint="eastAsia" w:ascii="宋体" w:hAnsi="宋体"/>
          <w:color w:val="auto"/>
          <w:highlight w:val="none"/>
          <w:lang w:eastAsia="zh-CN"/>
        </w:rPr>
        <w:t>应答人</w:t>
      </w:r>
      <w:r>
        <w:rPr>
          <w:rFonts w:hint="eastAsia" w:ascii="宋体" w:hAnsi="宋体"/>
          <w:color w:val="auto"/>
          <w:highlight w:val="none"/>
        </w:rPr>
        <w:t>提供虚假企业信用信息公示报告的，按照虚假</w:t>
      </w:r>
      <w:r>
        <w:rPr>
          <w:rFonts w:hint="eastAsia" w:ascii="宋体" w:hAnsi="宋体"/>
          <w:color w:val="auto"/>
          <w:highlight w:val="none"/>
          <w:lang w:val="en-US" w:eastAsia="zh-CN"/>
        </w:rPr>
        <w:t>应答</w:t>
      </w:r>
      <w:r>
        <w:rPr>
          <w:rFonts w:hint="eastAsia" w:ascii="宋体" w:hAnsi="宋体"/>
          <w:color w:val="auto"/>
          <w:highlight w:val="none"/>
        </w:rPr>
        <w:t>进行否决。</w:t>
      </w:r>
    </w:p>
    <w:p w14:paraId="56EE6C8A">
      <w:pPr>
        <w:adjustRightInd w:val="0"/>
        <w:snapToGrid w:val="0"/>
        <w:spacing w:line="400" w:lineRule="exact"/>
        <w:ind w:firstLine="48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r>
        <w:rPr>
          <w:rFonts w:hint="default" w:ascii="宋体" w:hAnsi="宋体"/>
          <w:bCs/>
          <w:color w:val="000000" w:themeColor="text1"/>
          <w:highlight w:val="none"/>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）安全质量要求：</w:t>
      </w:r>
    </w:p>
    <w:p w14:paraId="4DEFD95C">
      <w:pPr>
        <w:adjustRightInd w:val="0"/>
        <w:snapToGrid w:val="0"/>
        <w:spacing w:line="400" w:lineRule="exact"/>
        <w:ind w:firstLine="48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应答人不得存在下列情形：在应答截止日前半年内存在一般安全质量事故或1年内存在较大安全质量事故或2年内存在重大安全质量事故或3年内存在特大安全质量事故。事故鉴定报告认定无责任的除外。</w:t>
      </w:r>
    </w:p>
    <w:p w14:paraId="5FBB3684">
      <w:pPr>
        <w:adjustRightInd w:val="0"/>
        <w:snapToGrid w:val="0"/>
        <w:spacing w:line="400" w:lineRule="exact"/>
        <w:ind w:firstLine="482" w:firstLineChars="20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 xml:space="preserve">3.2 </w:t>
      </w:r>
      <w:r>
        <w:rPr>
          <w:rFonts w:hint="eastAsia" w:ascii="宋体" w:hAnsi="宋体"/>
          <w:b/>
          <w:color w:val="000000" w:themeColor="text1"/>
          <w:highlight w:val="none"/>
          <w14:textFill>
            <w14:solidFill>
              <w14:schemeClr w14:val="tx1"/>
            </w14:solidFill>
          </w14:textFill>
        </w:rPr>
        <w:t>应答人须满足如下专用资格要求：</w:t>
      </w:r>
    </w:p>
    <w:p w14:paraId="447083E7">
      <w:pPr>
        <w:adjustRightInd w:val="0"/>
        <w:snapToGrid w:val="0"/>
        <w:spacing w:line="400" w:lineRule="exact"/>
        <w:ind w:firstLine="480" w:firstLineChars="200"/>
        <w:rPr>
          <w:rFonts w:hint="default" w:ascii="宋体" w:hAnsi="宋体"/>
          <w:bCs/>
          <w:color w:val="000000" w:themeColor="text1"/>
          <w:highlight w:val="none"/>
          <w:lang w:eastAsia="zh-CN"/>
          <w14:textFill>
            <w14:solidFill>
              <w14:schemeClr w14:val="tx1"/>
            </w14:solidFill>
          </w14:textFill>
        </w:rPr>
      </w:pPr>
      <w:r>
        <w:rPr>
          <w:rFonts w:hint="default" w:ascii="宋体" w:hAnsi="宋体"/>
          <w:bCs/>
          <w:color w:val="000000" w:themeColor="text1"/>
          <w:highlight w:val="none"/>
          <w:lang w:eastAsia="zh-CN"/>
          <w14:textFill>
            <w14:solidFill>
              <w14:schemeClr w14:val="tx1"/>
            </w14:solidFill>
          </w14:textFill>
        </w:rPr>
        <w:t>（1）</w:t>
      </w:r>
      <w:r>
        <w:rPr>
          <w:rFonts w:hint="eastAsia" w:ascii="宋体" w:hAnsi="宋体"/>
          <w:bCs/>
          <w:color w:val="000000" w:themeColor="text1"/>
          <w:highlight w:val="none"/>
          <w:lang w:val="en-US" w:eastAsia="zh-CN"/>
          <w14:textFill>
            <w14:solidFill>
              <w14:schemeClr w14:val="tx1"/>
            </w14:solidFill>
          </w14:textFill>
        </w:rPr>
        <w:t>同时具备以下资质：①建筑工程施工总承包贰级及以上；②建筑装修装饰工程专业承包贰级及以上</w:t>
      </w:r>
      <w:r>
        <w:rPr>
          <w:rFonts w:hint="default" w:ascii="宋体" w:hAnsi="宋体"/>
          <w:bCs/>
          <w:color w:val="000000" w:themeColor="text1"/>
          <w:highlight w:val="none"/>
          <w:lang w:eastAsia="zh-CN"/>
          <w14:textFill>
            <w14:solidFill>
              <w14:schemeClr w14:val="tx1"/>
            </w14:solidFill>
          </w14:textFill>
        </w:rPr>
        <w:t>。</w:t>
      </w:r>
    </w:p>
    <w:p w14:paraId="64F3051E">
      <w:pPr>
        <w:adjustRightInd w:val="0"/>
        <w:snapToGrid w:val="0"/>
        <w:spacing w:line="400" w:lineRule="exact"/>
        <w:ind w:firstLine="480" w:firstLineChars="200"/>
        <w:rPr>
          <w:rFonts w:hint="eastAsia" w:ascii="宋体" w:hAnsi="宋体"/>
          <w:bCs/>
          <w:color w:val="000000" w:themeColor="text1"/>
          <w:highlight w:val="none"/>
          <w14:textFill>
            <w14:solidFill>
              <w14:schemeClr w14:val="tx1"/>
            </w14:solidFill>
          </w14:textFill>
        </w:rPr>
      </w:pPr>
      <w:r>
        <w:rPr>
          <w:rFonts w:hint="default" w:ascii="宋体" w:hAnsi="宋体"/>
          <w:bCs/>
          <w:color w:val="000000" w:themeColor="text1"/>
          <w:highlight w:val="none"/>
          <w:lang w:eastAsia="zh-CN"/>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具有建设行政主管部门颁发的有效安全生产许可证</w:t>
      </w:r>
      <w:r>
        <w:rPr>
          <w:rFonts w:hint="eastAsia" w:ascii="宋体" w:hAnsi="宋体"/>
          <w:bCs/>
          <w:color w:val="000000" w:themeColor="text1"/>
          <w:highlight w:val="none"/>
          <w:lang w:eastAsia="zh-CN"/>
          <w14:textFill>
            <w14:solidFill>
              <w14:schemeClr w14:val="tx1"/>
            </w14:solidFill>
          </w14:textFill>
        </w:rPr>
        <w:t>。</w:t>
      </w:r>
    </w:p>
    <w:p w14:paraId="476888BB">
      <w:pPr>
        <w:widowControl/>
        <w:adjustRightInd w:val="0"/>
        <w:snapToGrid w:val="0"/>
        <w:spacing w:line="400" w:lineRule="exact"/>
        <w:ind w:firstLine="482" w:firstLineChars="200"/>
        <w:outlineLvl w:val="2"/>
        <w:rPr>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 xml:space="preserve">3 </w:t>
      </w:r>
      <w:r>
        <w:rPr>
          <w:rFonts w:hint="eastAsia"/>
          <w:b/>
          <w:color w:val="000000" w:themeColor="text1"/>
          <w:highlight w:val="none"/>
          <w14:textFill>
            <w14:solidFill>
              <w14:schemeClr w14:val="tx1"/>
            </w14:solidFill>
          </w14:textFill>
        </w:rPr>
        <w:t>不接受联合体应答。</w:t>
      </w:r>
    </w:p>
    <w:p w14:paraId="3CA0BBC4">
      <w:pPr>
        <w:adjustRightInd w:val="0"/>
        <w:snapToGrid w:val="0"/>
        <w:spacing w:line="400" w:lineRule="exact"/>
        <w:ind w:firstLine="482" w:firstLineChars="200"/>
        <w:rPr>
          <w:color w:val="auto"/>
          <w:highlight w:val="none"/>
        </w:rPr>
      </w:pPr>
      <w:r>
        <w:rPr>
          <w:rFonts w:ascii="宋体" w:hAnsi="宋体"/>
          <w:b/>
          <w:color w:val="000000" w:themeColor="text1"/>
          <w:highlight w:val="none"/>
          <w14:textFill>
            <w14:solidFill>
              <w14:schemeClr w14:val="tx1"/>
            </w14:solidFill>
          </w14:textFill>
        </w:rPr>
        <w:t>3.</w:t>
      </w:r>
      <w:r>
        <w:rPr>
          <w:rFonts w:hint="default" w:ascii="宋体" w:hAnsi="宋体"/>
          <w:b/>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本次</w:t>
      </w:r>
      <w:r>
        <w:rPr>
          <w:rFonts w:hint="eastAsia"/>
          <w:color w:val="000000" w:themeColor="text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不接受</w:t>
      </w:r>
      <w:r>
        <w:rPr>
          <w:rFonts w:hint="eastAsia"/>
          <w:color w:val="auto"/>
          <w:highlight w:val="none"/>
          <w:lang w:eastAsia="zh-CN"/>
        </w:rPr>
        <w:t>应答人委托中介机构或者中间人编制应答文件或代行办理应答事宜</w:t>
      </w:r>
      <w:r>
        <w:rPr>
          <w:rFonts w:hint="eastAsia"/>
          <w:color w:val="auto"/>
          <w:highlight w:val="none"/>
        </w:rPr>
        <w:t>。</w:t>
      </w:r>
    </w:p>
    <w:p w14:paraId="33386851">
      <w:pPr>
        <w:widowControl/>
        <w:adjustRightInd w:val="0"/>
        <w:snapToGrid w:val="0"/>
        <w:spacing w:before="317" w:beforeLines="100" w:after="158" w:afterLines="50" w:line="400" w:lineRule="exact"/>
        <w:jc w:val="left"/>
        <w:outlineLvl w:val="1"/>
        <w:rPr>
          <w:rFonts w:ascii="黑体" w:eastAsia="黑体" w:hAnsiTheme="majorHAnsi" w:cstheme="majorBidi"/>
          <w:b/>
          <w:color w:val="000000" w:themeColor="text1"/>
          <w:kern w:val="0"/>
          <w:sz w:val="24"/>
          <w:highlight w:val="none"/>
          <w:lang w:bidi="en-US"/>
          <w14:textFill>
            <w14:solidFill>
              <w14:schemeClr w14:val="tx1"/>
            </w14:solidFill>
          </w14:textFill>
        </w:rPr>
      </w:pPr>
      <w:bookmarkStart w:id="8" w:name="_Toc26765"/>
      <w:bookmarkStart w:id="9" w:name="_Toc62566120"/>
      <w:bookmarkStart w:id="10" w:name="_Toc3136"/>
      <w:r>
        <w:rPr>
          <w:rFonts w:hint="eastAsia" w:ascii="黑体" w:eastAsia="黑体" w:hAnsiTheme="majorHAnsi" w:cstheme="majorBidi"/>
          <w:b/>
          <w:color w:val="000000" w:themeColor="text1"/>
          <w:kern w:val="0"/>
          <w:sz w:val="24"/>
          <w:highlight w:val="none"/>
          <w:lang w:bidi="en-US"/>
          <w14:textFill>
            <w14:solidFill>
              <w14:schemeClr w14:val="tx1"/>
            </w14:solidFill>
          </w14:textFill>
        </w:rPr>
        <w:t>4.采购文件的获取</w:t>
      </w:r>
      <w:bookmarkEnd w:id="8"/>
      <w:bookmarkEnd w:id="9"/>
      <w:bookmarkEnd w:id="10"/>
    </w:p>
    <w:p w14:paraId="76CDDB08">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 采购文件（电子文件）免费获取。</w:t>
      </w:r>
    </w:p>
    <w:p w14:paraId="3E146034">
      <w:pPr>
        <w:wordWrap w:val="0"/>
        <w:adjustRightInd w:val="0"/>
        <w:snapToGrid w:val="0"/>
        <w:spacing w:line="400" w:lineRule="exact"/>
        <w:ind w:firstLine="480" w:firstLineChars="20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w:t>
      </w:r>
      <w:r>
        <w:rPr>
          <w:rFonts w:hint="default" w:ascii="宋体" w:hAnsi="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凡有意参加应答者，请于</w:t>
      </w:r>
      <w:r>
        <w:rPr>
          <w:rFonts w:hint="eastAsia" w:ascii="宋体" w:hAnsi="宋体"/>
          <w:color w:val="000000"/>
          <w:szCs w:val="21"/>
          <w:highlight w:val="none"/>
          <w:lang w:eastAsia="zh-CN"/>
        </w:rPr>
        <w:t>202</w:t>
      </w:r>
      <w:r>
        <w:rPr>
          <w:rFonts w:hint="default" w:ascii="宋体" w:hAnsi="宋体"/>
          <w:color w:val="000000"/>
          <w:szCs w:val="21"/>
          <w:highlight w:val="none"/>
          <w:lang w:eastAsia="zh-CN"/>
        </w:rPr>
        <w:t>5</w:t>
      </w:r>
      <w:r>
        <w:rPr>
          <w:rFonts w:hint="eastAsia" w:ascii="宋体" w:hAnsi="宋体"/>
          <w:color w:val="000000"/>
          <w:szCs w:val="21"/>
          <w:highlight w:val="none"/>
          <w:lang w:eastAsia="zh-CN"/>
        </w:rPr>
        <w:t>年</w:t>
      </w:r>
      <w:r>
        <w:rPr>
          <w:rFonts w:hint="eastAsia" w:ascii="宋体" w:hAnsi="宋体"/>
          <w:color w:val="000000"/>
          <w:szCs w:val="21"/>
          <w:highlight w:val="none"/>
          <w:lang w:val="en-US" w:eastAsia="zh-CN"/>
        </w:rPr>
        <w:t>10</w:t>
      </w:r>
      <w:r>
        <w:rPr>
          <w:rFonts w:hint="eastAsia" w:ascii="宋体" w:hAnsi="宋体"/>
          <w:color w:val="000000"/>
          <w:szCs w:val="21"/>
          <w:highlight w:val="none"/>
          <w:lang w:eastAsia="zh-CN"/>
        </w:rPr>
        <w:t>月</w:t>
      </w:r>
      <w:r>
        <w:rPr>
          <w:rFonts w:hint="eastAsia" w:ascii="宋体" w:hAnsi="宋体"/>
          <w:color w:val="000000"/>
          <w:szCs w:val="21"/>
          <w:highlight w:val="none"/>
          <w:lang w:val="en-US" w:eastAsia="zh-CN"/>
        </w:rPr>
        <w:t>20</w:t>
      </w:r>
      <w:r>
        <w:rPr>
          <w:rFonts w:hint="eastAsia" w:ascii="宋体" w:hAnsi="宋体"/>
          <w:color w:val="000000"/>
          <w:szCs w:val="21"/>
          <w:highlight w:val="none"/>
          <w:lang w:eastAsia="zh-CN"/>
        </w:rPr>
        <w:t>日至202</w:t>
      </w:r>
      <w:r>
        <w:rPr>
          <w:rFonts w:hint="default" w:ascii="宋体" w:hAnsi="宋体"/>
          <w:color w:val="000000"/>
          <w:szCs w:val="21"/>
          <w:highlight w:val="none"/>
          <w:lang w:eastAsia="zh-CN"/>
        </w:rPr>
        <w:t>5</w:t>
      </w:r>
      <w:r>
        <w:rPr>
          <w:rFonts w:hint="eastAsia" w:ascii="宋体" w:hAnsi="宋体"/>
          <w:color w:val="000000"/>
          <w:szCs w:val="21"/>
          <w:highlight w:val="none"/>
          <w:lang w:eastAsia="zh-CN"/>
        </w:rPr>
        <w:t>年</w:t>
      </w:r>
      <w:r>
        <w:rPr>
          <w:rFonts w:hint="eastAsia" w:ascii="宋体" w:hAnsi="宋体"/>
          <w:color w:val="000000"/>
          <w:szCs w:val="21"/>
          <w:highlight w:val="none"/>
          <w:lang w:val="en-US" w:eastAsia="zh-CN"/>
        </w:rPr>
        <w:t>10</w:t>
      </w:r>
      <w:r>
        <w:rPr>
          <w:rFonts w:hint="eastAsia" w:ascii="宋体" w:hAnsi="宋体"/>
          <w:color w:val="000000"/>
          <w:szCs w:val="21"/>
          <w:highlight w:val="none"/>
          <w:lang w:eastAsia="zh-CN"/>
        </w:rPr>
        <w:t>月</w:t>
      </w:r>
      <w:r>
        <w:rPr>
          <w:rFonts w:hint="eastAsia" w:ascii="宋体" w:hAnsi="宋体"/>
          <w:color w:val="000000"/>
          <w:szCs w:val="21"/>
          <w:highlight w:val="none"/>
          <w:lang w:val="en-US" w:eastAsia="zh-CN"/>
        </w:rPr>
        <w:t>23</w:t>
      </w:r>
      <w:bookmarkStart w:id="160" w:name="_GoBack"/>
      <w:bookmarkEnd w:id="160"/>
      <w:r>
        <w:rPr>
          <w:rFonts w:hint="eastAsia" w:ascii="宋体" w:hAnsi="宋体"/>
          <w:color w:val="000000"/>
          <w:szCs w:val="21"/>
          <w:highlight w:val="none"/>
          <w:lang w:eastAsia="zh-CN"/>
        </w:rPr>
        <w:t>日</w:t>
      </w:r>
      <w:r>
        <w:rPr>
          <w:rFonts w:hint="default" w:ascii="宋体" w:hAnsi="宋体"/>
          <w:color w:val="000000"/>
          <w:szCs w:val="21"/>
          <w:highlight w:val="none"/>
          <w:lang w:eastAsia="zh-CN"/>
        </w:rPr>
        <w:t>08:00至</w:t>
      </w:r>
      <w:r>
        <w:rPr>
          <w:rFonts w:hint="eastAsia" w:ascii="宋体" w:hAnsi="宋体"/>
          <w:color w:val="000000"/>
          <w:szCs w:val="21"/>
          <w:highlight w:val="none"/>
          <w:lang w:eastAsia="zh-CN"/>
        </w:rPr>
        <w:t>16:00</w:t>
      </w:r>
      <w:r>
        <w:rPr>
          <w:rFonts w:ascii="宋体" w:hAnsi="宋体"/>
          <w:color w:val="000000" w:themeColor="text1"/>
          <w:highlight w:val="none"/>
          <w14:textFill>
            <w14:solidFill>
              <w14:schemeClr w14:val="tx1"/>
            </w14:solidFill>
          </w14:textFill>
        </w:rPr>
        <w:t>（北京时间，下同），</w:t>
      </w:r>
      <w:r>
        <w:rPr>
          <w:rFonts w:hint="default" w:ascii="宋体" w:hAnsi="宋体"/>
          <w:color w:val="000000" w:themeColor="text1"/>
          <w:highlight w:val="none"/>
          <w14:textFill>
            <w14:solidFill>
              <w14:schemeClr w14:val="tx1"/>
            </w14:solidFill>
          </w14:textFill>
        </w:rPr>
        <w:t>联系</w:t>
      </w:r>
      <w:r>
        <w:rPr>
          <w:rFonts w:hint="eastAsia" w:ascii="宋体" w:hAnsi="宋体"/>
          <w:color w:val="000000" w:themeColor="text1"/>
          <w:highlight w:val="none"/>
          <w:lang w:eastAsia="zh-CN"/>
          <w14:textFill>
            <w14:solidFill>
              <w14:schemeClr w14:val="tx1"/>
            </w14:solidFill>
          </w14:textFill>
        </w:rPr>
        <w:t>招标人</w:t>
      </w:r>
      <w:r>
        <w:rPr>
          <w:rFonts w:hint="eastAsia" w:ascii="宋体" w:hAnsi="宋体"/>
          <w:color w:val="000000" w:themeColor="text1"/>
          <w:highlight w:val="none"/>
          <w14:textFill>
            <w14:solidFill>
              <w14:schemeClr w14:val="tx1"/>
            </w14:solidFill>
          </w14:textFill>
        </w:rPr>
        <w:t>获取采购文件。</w:t>
      </w:r>
    </w:p>
    <w:p w14:paraId="46A43224">
      <w:pPr>
        <w:adjustRightInd w:val="0"/>
        <w:snapToGrid w:val="0"/>
        <w:spacing w:line="400" w:lineRule="exact"/>
        <w:ind w:firstLine="482" w:firstLineChars="200"/>
        <w:rPr>
          <w:rFonts w:hint="default" w:ascii="宋体" w:hAnsi="宋体" w:eastAsia="宋体"/>
          <w:b/>
          <w:bCs/>
          <w:color w:val="000000" w:themeColor="text1"/>
          <w:highlight w:val="none"/>
          <w:lang w:val="en-US" w:eastAsia="zh-CN"/>
          <w14:textFill>
            <w14:solidFill>
              <w14:schemeClr w14:val="tx1"/>
            </w14:solidFill>
          </w14:textFill>
        </w:rPr>
      </w:pPr>
      <w:r>
        <w:rPr>
          <w:rFonts w:ascii="宋体" w:hAnsi="宋体"/>
          <w:b/>
          <w:bCs/>
          <w:color w:val="000000" w:themeColor="text1"/>
          <w:highlight w:val="none"/>
          <w14:textFill>
            <w14:solidFill>
              <w14:schemeClr w14:val="tx1"/>
            </w14:solidFill>
          </w14:textFill>
        </w:rPr>
        <w:t>4.</w:t>
      </w:r>
      <w:r>
        <w:rPr>
          <w:rFonts w:hint="eastAsia" w:ascii="宋体" w:hAnsi="宋体"/>
          <w:b/>
          <w:bCs/>
          <w:color w:val="000000" w:themeColor="text1"/>
          <w:highlight w:val="none"/>
          <w14:textFill>
            <w14:solidFill>
              <w14:schemeClr w14:val="tx1"/>
            </w14:solidFill>
          </w14:textFill>
        </w:rPr>
        <w:t>3</w:t>
      </w:r>
      <w:r>
        <w:rPr>
          <w:rFonts w:hint="default" w:ascii="宋体" w:hAnsi="宋体"/>
          <w:b/>
          <w:bCs/>
          <w:color w:val="000000" w:themeColor="text1"/>
          <w:highlight w:val="none"/>
          <w14:textFill>
            <w14:solidFill>
              <w14:schemeClr w14:val="tx1"/>
            </w14:solidFill>
          </w14:textFill>
        </w:rPr>
        <w:t xml:space="preserve"> </w:t>
      </w:r>
      <w:r>
        <w:rPr>
          <w:rFonts w:hint="eastAsia" w:ascii="宋体" w:hAnsi="宋体"/>
          <w:b w:val="0"/>
          <w:bCs w:val="0"/>
          <w:color w:val="000000" w:themeColor="text1"/>
          <w:highlight w:val="none"/>
          <w:lang w:val="en-US" w:eastAsia="zh-CN"/>
          <w14:textFill>
            <w14:solidFill>
              <w14:schemeClr w14:val="tx1"/>
            </w14:solidFill>
          </w14:textFill>
        </w:rPr>
        <w:t>未按上述时间和方式获取采购文件的，将无法进行后续的应答及报价。</w:t>
      </w:r>
    </w:p>
    <w:p w14:paraId="07949C72">
      <w:pPr>
        <w:adjustRightInd w:val="0"/>
        <w:snapToGrid w:val="0"/>
        <w:spacing w:line="400" w:lineRule="exact"/>
        <w:ind w:firstLine="482" w:firstLineChars="200"/>
        <w:outlineLvl w:val="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4.4</w:t>
      </w:r>
      <w:r>
        <w:rPr>
          <w:rFonts w:hint="default" w:ascii="宋体" w:hAnsi="宋体"/>
          <w:b/>
          <w:bCs/>
          <w:color w:val="000000" w:themeColor="text1"/>
          <w:highlight w:val="none"/>
          <w:lang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注意事项</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采购文件澄清（或修改）</w:t>
      </w:r>
      <w:r>
        <w:rPr>
          <w:rFonts w:hint="default" w:ascii="宋体" w:hAnsi="宋体"/>
          <w:color w:val="000000" w:themeColor="text1"/>
          <w:highlight w:val="none"/>
          <w14:textFill>
            <w14:solidFill>
              <w14:schemeClr w14:val="tx1"/>
            </w14:solidFill>
          </w14:textFill>
        </w:rPr>
        <w:t>发布在</w:t>
      </w:r>
      <w:r>
        <w:rPr>
          <w:rFonts w:hint="eastAsia" w:ascii="宋体" w:hAnsi="宋体"/>
          <w:color w:val="000000" w:themeColor="text1"/>
          <w:highlight w:val="none"/>
          <w14:textFill>
            <w14:solidFill>
              <w14:schemeClr w14:val="tx1"/>
            </w14:solidFill>
          </w14:textFill>
        </w:rPr>
        <w:t>采购人</w:t>
      </w:r>
      <w:r>
        <w:rPr>
          <w:rFonts w:hint="default" w:ascii="宋体" w:hAnsi="宋体"/>
          <w:color w:val="000000" w:themeColor="text1"/>
          <w:highlight w:val="none"/>
          <w14:textFill>
            <w14:solidFill>
              <w14:schemeClr w14:val="tx1"/>
            </w14:solidFill>
          </w14:textFill>
        </w:rPr>
        <w:t>网站</w:t>
      </w:r>
      <w:r>
        <w:rPr>
          <w:rFonts w:hint="eastAsia" w:ascii="宋体" w:hAnsi="宋体"/>
          <w:color w:val="000000" w:themeColor="text1"/>
          <w:highlight w:val="none"/>
          <w14:textFill>
            <w14:solidFill>
              <w14:schemeClr w14:val="tx1"/>
            </w14:solidFill>
          </w14:textFill>
        </w:rPr>
        <w:t>。如因应答人自身原因遗漏查看采购文件澄清（或修改），后果自行承担。</w:t>
      </w:r>
    </w:p>
    <w:p w14:paraId="4CDC53D8">
      <w:pPr>
        <w:widowControl/>
        <w:adjustRightInd w:val="0"/>
        <w:snapToGrid w:val="0"/>
        <w:spacing w:before="317" w:beforeLines="100" w:after="158" w:afterLines="50" w:line="400" w:lineRule="exact"/>
        <w:jc w:val="left"/>
        <w:outlineLvl w:val="1"/>
        <w:rPr>
          <w:rFonts w:ascii="黑体" w:eastAsia="黑体" w:hAnsiTheme="majorHAnsi" w:cstheme="majorBidi"/>
          <w:b/>
          <w:color w:val="000000" w:themeColor="text1"/>
          <w:kern w:val="0"/>
          <w:sz w:val="24"/>
          <w:highlight w:val="none"/>
          <w:lang w:bidi="en-US"/>
          <w14:textFill>
            <w14:solidFill>
              <w14:schemeClr w14:val="tx1"/>
            </w14:solidFill>
          </w14:textFill>
        </w:rPr>
      </w:pPr>
      <w:bookmarkStart w:id="11" w:name="_Toc6421"/>
      <w:bookmarkStart w:id="12" w:name="_Toc26882"/>
      <w:bookmarkStart w:id="13" w:name="_Toc62566121"/>
      <w:r>
        <w:rPr>
          <w:rFonts w:hint="eastAsia" w:ascii="黑体" w:eastAsia="黑体" w:hAnsiTheme="majorHAnsi" w:cstheme="majorBidi"/>
          <w:b/>
          <w:color w:val="000000" w:themeColor="text1"/>
          <w:kern w:val="0"/>
          <w:sz w:val="24"/>
          <w:highlight w:val="none"/>
          <w:lang w:bidi="en-US"/>
          <w14:textFill>
            <w14:solidFill>
              <w14:schemeClr w14:val="tx1"/>
            </w14:solidFill>
          </w14:textFill>
        </w:rPr>
        <w:t>5.应答文件的提交</w:t>
      </w:r>
      <w:bookmarkEnd w:id="11"/>
      <w:bookmarkEnd w:id="12"/>
      <w:bookmarkEnd w:id="13"/>
    </w:p>
    <w:p w14:paraId="362D1949">
      <w:pPr>
        <w:adjustRightInd w:val="0"/>
        <w:snapToGrid w:val="0"/>
        <w:spacing w:line="400" w:lineRule="exact"/>
        <w:ind w:firstLine="480" w:firstLineChars="200"/>
        <w:outlineLvl w:val="2"/>
        <w:rPr>
          <w:rFonts w:ascii="宋体" w:hAnsi="宋体"/>
          <w:color w:val="FF0000"/>
          <w:highlight w:val="none"/>
        </w:rPr>
      </w:pPr>
      <w:r>
        <w:rPr>
          <w:rFonts w:hint="eastAsia" w:ascii="宋体" w:hAnsi="宋体"/>
          <w:highlight w:val="none"/>
        </w:rPr>
        <w:t>5.1</w:t>
      </w:r>
      <w:r>
        <w:rPr>
          <w:rFonts w:hint="default" w:ascii="宋体" w:hAnsi="宋体"/>
          <w:highlight w:val="none"/>
        </w:rPr>
        <w:t xml:space="preserve"> </w:t>
      </w:r>
      <w:r>
        <w:rPr>
          <w:rFonts w:hint="eastAsia" w:ascii="宋体" w:hAnsi="宋体"/>
          <w:highlight w:val="none"/>
        </w:rPr>
        <w:t>应答文件提交的截止时间（</w:t>
      </w:r>
      <w:r>
        <w:rPr>
          <w:rFonts w:hint="default" w:ascii="宋体" w:hAnsi="宋体"/>
          <w:highlight w:val="none"/>
        </w:rPr>
        <w:t>应答</w:t>
      </w:r>
      <w:r>
        <w:rPr>
          <w:rFonts w:hint="eastAsia" w:ascii="宋体" w:hAnsi="宋体"/>
          <w:highlight w:val="none"/>
        </w:rPr>
        <w:t>截止时间，下同）：</w:t>
      </w:r>
      <w:r>
        <w:rPr>
          <w:rFonts w:hint="eastAsia" w:ascii="宋体" w:hAnsi="宋体"/>
          <w:color w:val="000000"/>
          <w:highlight w:val="none"/>
          <w:lang w:eastAsia="zh-CN"/>
        </w:rPr>
        <w:t>202</w:t>
      </w:r>
      <w:r>
        <w:rPr>
          <w:rFonts w:hint="default" w:ascii="宋体" w:hAnsi="宋体"/>
          <w:color w:val="000000"/>
          <w:highlight w:val="none"/>
          <w:lang w:eastAsia="zh-CN"/>
        </w:rPr>
        <w:t>5</w:t>
      </w:r>
      <w:r>
        <w:rPr>
          <w:rFonts w:hint="eastAsia" w:ascii="宋体" w:hAnsi="宋体"/>
          <w:color w:val="000000"/>
          <w:highlight w:val="none"/>
          <w:lang w:eastAsia="zh-CN"/>
        </w:rPr>
        <w:t>年</w:t>
      </w:r>
      <w:r>
        <w:rPr>
          <w:rFonts w:hint="eastAsia" w:ascii="宋体" w:hAnsi="宋体"/>
          <w:color w:val="000000"/>
          <w:highlight w:val="none"/>
          <w:lang w:val="en-US" w:eastAsia="zh-CN"/>
        </w:rPr>
        <w:t>10</w:t>
      </w:r>
      <w:r>
        <w:rPr>
          <w:rFonts w:hint="eastAsia" w:ascii="宋体" w:hAnsi="宋体"/>
          <w:color w:val="000000"/>
          <w:highlight w:val="none"/>
          <w:lang w:eastAsia="zh-CN"/>
        </w:rPr>
        <w:t>月</w:t>
      </w:r>
      <w:r>
        <w:rPr>
          <w:rFonts w:hint="eastAsia" w:ascii="宋体" w:hAnsi="宋体"/>
          <w:color w:val="000000"/>
          <w:highlight w:val="none"/>
          <w:lang w:val="en-US" w:eastAsia="zh-CN"/>
        </w:rPr>
        <w:t>27</w:t>
      </w:r>
      <w:r>
        <w:rPr>
          <w:rFonts w:hint="eastAsia" w:ascii="宋体" w:hAnsi="宋体"/>
          <w:color w:val="000000"/>
          <w:highlight w:val="none"/>
          <w:lang w:eastAsia="zh-CN"/>
        </w:rPr>
        <w:t>日</w:t>
      </w:r>
      <w:r>
        <w:rPr>
          <w:rFonts w:hint="eastAsia" w:ascii="宋体" w:hAnsi="宋体"/>
          <w:color w:val="000000"/>
          <w:highlight w:val="none"/>
          <w:lang w:val="en-US" w:eastAsia="zh-CN"/>
        </w:rPr>
        <w:t>9</w:t>
      </w:r>
      <w:r>
        <w:rPr>
          <w:rFonts w:hint="eastAsia" w:ascii="宋体" w:hAnsi="宋体"/>
          <w:color w:val="000000"/>
          <w:highlight w:val="none"/>
          <w:lang w:eastAsia="zh-CN"/>
        </w:rPr>
        <w:t>:00</w:t>
      </w:r>
      <w:r>
        <w:rPr>
          <w:rFonts w:hint="eastAsia" w:ascii="宋体" w:hAnsi="宋体"/>
          <w:color w:val="auto"/>
          <w:highlight w:val="none"/>
        </w:rPr>
        <w:t>。</w:t>
      </w:r>
    </w:p>
    <w:p w14:paraId="2F231575">
      <w:pPr>
        <w:pStyle w:val="4"/>
        <w:spacing w:line="400" w:lineRule="exact"/>
        <w:rPr>
          <w:rFonts w:ascii="Calibri" w:hAnsi="Calibri"/>
          <w:bCs/>
          <w:color w:val="000000"/>
          <w:szCs w:val="22"/>
          <w:highlight w:val="none"/>
        </w:rPr>
      </w:pPr>
      <w:r>
        <w:rPr>
          <w:rFonts w:hint="eastAsia" w:ascii="Calibri" w:hAnsi="Calibri"/>
          <w:b/>
          <w:color w:val="000000"/>
          <w:szCs w:val="22"/>
          <w:highlight w:val="none"/>
        </w:rPr>
        <w:t>应答文件提交时间：</w:t>
      </w:r>
      <w:r>
        <w:rPr>
          <w:rFonts w:hint="eastAsia" w:ascii="Calibri" w:hAnsi="Calibri"/>
          <w:bCs/>
          <w:color w:val="000000"/>
          <w:szCs w:val="22"/>
          <w:highlight w:val="none"/>
        </w:rPr>
        <w:t>所有应答文件应当在应答截止时间递交（提交）采购人。</w:t>
      </w:r>
    </w:p>
    <w:p w14:paraId="2414FF47">
      <w:pPr>
        <w:adjustRightInd w:val="0"/>
        <w:snapToGrid w:val="0"/>
        <w:spacing w:line="400" w:lineRule="exact"/>
        <w:ind w:firstLine="482" w:firstLineChars="200"/>
        <w:rPr>
          <w:b/>
          <w:bCs w:val="0"/>
          <w:highlight w:val="none"/>
        </w:rPr>
      </w:pPr>
      <w:r>
        <w:rPr>
          <w:rFonts w:hint="default"/>
          <w:b/>
          <w:bCs w:val="0"/>
          <w:color w:val="000000"/>
          <w:highlight w:val="none"/>
        </w:rPr>
        <w:t>纸质版</w:t>
      </w:r>
      <w:r>
        <w:rPr>
          <w:rFonts w:hint="eastAsia"/>
          <w:b/>
          <w:bCs w:val="0"/>
          <w:color w:val="000000"/>
          <w:highlight w:val="none"/>
        </w:rPr>
        <w:t>应答文件</w:t>
      </w:r>
      <w:r>
        <w:rPr>
          <w:rFonts w:hint="eastAsia" w:ascii="宋体" w:hAnsi="宋体"/>
          <w:color w:val="000000" w:themeColor="text1"/>
          <w:highlight w:val="none"/>
          <w14:textFill>
            <w14:solidFill>
              <w14:schemeClr w14:val="tx1"/>
            </w14:solidFill>
          </w14:textFill>
        </w:rPr>
        <w:t>（一正三副）</w:t>
      </w:r>
      <w:r>
        <w:rPr>
          <w:rFonts w:hint="eastAsia"/>
          <w:b/>
          <w:bCs w:val="0"/>
          <w:color w:val="000000"/>
          <w:highlight w:val="none"/>
        </w:rPr>
        <w:t>提交地点：</w:t>
      </w:r>
      <w:r>
        <w:rPr>
          <w:rFonts w:hint="default"/>
          <w:b/>
          <w:bCs w:val="0"/>
          <w:color w:val="000000"/>
          <w:highlight w:val="none"/>
        </w:rPr>
        <w:t>吉林省长春市朝阳区建设街377号</w:t>
      </w:r>
      <w:r>
        <w:rPr>
          <w:rFonts w:hint="eastAsia"/>
          <w:b/>
          <w:bCs w:val="0"/>
          <w:color w:val="000000"/>
          <w:highlight w:val="none"/>
        </w:rPr>
        <w:t>。</w:t>
      </w:r>
    </w:p>
    <w:p w14:paraId="1A668A43">
      <w:pPr>
        <w:adjustRightInd w:val="0"/>
        <w:snapToGrid w:val="0"/>
        <w:spacing w:line="400" w:lineRule="exact"/>
        <w:ind w:firstLine="482" w:firstLineChars="200"/>
        <w:rPr>
          <w:rFonts w:hint="default"/>
          <w:b/>
          <w:bCs w:val="0"/>
          <w:color w:val="000000"/>
          <w:highlight w:val="none"/>
        </w:rPr>
      </w:pPr>
      <w:r>
        <w:rPr>
          <w:rFonts w:hint="eastAsia"/>
          <w:b/>
          <w:bCs w:val="0"/>
          <w:color w:val="000000"/>
          <w:highlight w:val="none"/>
        </w:rPr>
        <w:t>电子应答文件</w:t>
      </w:r>
      <w:r>
        <w:rPr>
          <w:rFonts w:hint="default"/>
          <w:b/>
          <w:bCs w:val="0"/>
          <w:color w:val="000000"/>
          <w:highlight w:val="none"/>
        </w:rPr>
        <w:t>采用</w:t>
      </w:r>
      <w:r>
        <w:rPr>
          <w:rFonts w:hint="eastAsia" w:ascii="宋体" w:hAnsi="宋体" w:eastAsia="宋体" w:cs="宋体"/>
          <w:b/>
          <w:bCs w:val="0"/>
          <w:color w:val="auto"/>
          <w:szCs w:val="24"/>
          <w:highlight w:val="none"/>
        </w:rPr>
        <w:t>U盘储存</w:t>
      </w:r>
      <w:r>
        <w:rPr>
          <w:rFonts w:hint="default" w:ascii="宋体" w:hAnsi="宋体" w:eastAsia="宋体" w:cs="宋体"/>
          <w:b/>
          <w:bCs w:val="0"/>
          <w:color w:val="auto"/>
          <w:szCs w:val="24"/>
          <w:highlight w:val="none"/>
        </w:rPr>
        <w:t>，随纸质版一并</w:t>
      </w:r>
      <w:r>
        <w:rPr>
          <w:rFonts w:hint="eastAsia"/>
          <w:b/>
          <w:bCs w:val="0"/>
          <w:color w:val="000000"/>
          <w:highlight w:val="none"/>
        </w:rPr>
        <w:t>递交。</w:t>
      </w:r>
    </w:p>
    <w:p w14:paraId="60638E84">
      <w:pPr>
        <w:adjustRightInd w:val="0"/>
        <w:snapToGrid w:val="0"/>
        <w:spacing w:line="400" w:lineRule="exact"/>
        <w:ind w:firstLine="480" w:firstLineChars="200"/>
        <w:outlineLvl w:val="2"/>
        <w:rPr>
          <w:rFonts w:ascii="宋体" w:hAnsi="宋体" w:cs="宋体"/>
          <w:highlight w:val="none"/>
        </w:rPr>
      </w:pPr>
      <w:r>
        <w:rPr>
          <w:rFonts w:hint="eastAsia" w:ascii="宋体" w:hAnsi="宋体" w:cs="宋体"/>
          <w:highlight w:val="none"/>
        </w:rPr>
        <w:t>5.2</w:t>
      </w:r>
      <w:r>
        <w:rPr>
          <w:rFonts w:ascii="宋体" w:hAnsi="宋体" w:cs="宋体"/>
          <w:highlight w:val="none"/>
        </w:rPr>
        <w:t xml:space="preserve"> 未按采购公告规定的时间和方式获取并下载采购文件的应答，采购人将不予受理。</w:t>
      </w:r>
    </w:p>
    <w:p w14:paraId="230D82A0">
      <w:pPr>
        <w:widowControl/>
        <w:adjustRightInd w:val="0"/>
        <w:snapToGrid w:val="0"/>
        <w:spacing w:before="317" w:beforeLines="100" w:after="158" w:afterLines="50" w:line="400" w:lineRule="exact"/>
        <w:jc w:val="left"/>
        <w:outlineLvl w:val="1"/>
        <w:rPr>
          <w:rFonts w:ascii="黑体" w:eastAsia="黑体" w:hAnsiTheme="majorHAnsi" w:cstheme="majorBidi"/>
          <w:b/>
          <w:color w:val="000000" w:themeColor="text1"/>
          <w:kern w:val="0"/>
          <w:sz w:val="24"/>
          <w:highlight w:val="none"/>
          <w:lang w:bidi="en-US"/>
          <w14:textFill>
            <w14:solidFill>
              <w14:schemeClr w14:val="tx1"/>
            </w14:solidFill>
          </w14:textFill>
        </w:rPr>
      </w:pPr>
      <w:bookmarkStart w:id="14" w:name="_Toc62566122"/>
      <w:bookmarkStart w:id="15" w:name="_Toc10970"/>
      <w:bookmarkStart w:id="16" w:name="_Toc20595"/>
      <w:r>
        <w:rPr>
          <w:rFonts w:hint="eastAsia" w:ascii="黑体" w:eastAsia="黑体" w:hAnsiTheme="majorHAnsi" w:cstheme="majorBidi"/>
          <w:b/>
          <w:color w:val="000000" w:themeColor="text1"/>
          <w:kern w:val="0"/>
          <w:sz w:val="24"/>
          <w:highlight w:val="none"/>
          <w:lang w:bidi="en-US"/>
          <w14:textFill>
            <w14:solidFill>
              <w14:schemeClr w14:val="tx1"/>
            </w14:solidFill>
          </w14:textFill>
        </w:rPr>
        <w:t>6.发布公告的媒介</w:t>
      </w:r>
      <w:bookmarkEnd w:id="14"/>
      <w:bookmarkEnd w:id="15"/>
      <w:bookmarkEnd w:id="16"/>
    </w:p>
    <w:p w14:paraId="375EA0A0">
      <w:pPr>
        <w:adjustRightInd w:val="0"/>
        <w:snapToGrid w:val="0"/>
        <w:spacing w:line="400" w:lineRule="exact"/>
        <w:ind w:firstLine="480" w:firstLineChars="200"/>
        <w:outlineLvl w:val="2"/>
        <w:rPr>
          <w:rFonts w:hint="default" w:ascii="宋体" w:hAnsi="宋体" w:cs="宋体"/>
          <w:highlight w:val="none"/>
        </w:rPr>
      </w:pPr>
      <w:r>
        <w:rPr>
          <w:rFonts w:hint="eastAsia" w:ascii="宋体" w:hAnsi="宋体"/>
          <w:color w:val="000000" w:themeColor="text1"/>
          <w:highlight w:val="none"/>
          <w14:textFill>
            <w14:solidFill>
              <w14:schemeClr w14:val="tx1"/>
            </w14:solidFill>
          </w14:textFill>
        </w:rPr>
        <w:t>本次采购公告在</w:t>
      </w:r>
      <w:r>
        <w:rPr>
          <w:rFonts w:hint="eastAsia" w:ascii="宋体" w:hAnsi="宋体"/>
          <w:color w:val="000000" w:themeColor="text1"/>
          <w:highlight w:val="none"/>
          <w:lang w:eastAsia="zh-CN"/>
          <w14:textFill>
            <w14:solidFill>
              <w14:schemeClr w14:val="tx1"/>
            </w14:solidFill>
          </w14:textFill>
        </w:rPr>
        <w:t>招标</w:t>
      </w:r>
      <w:r>
        <w:rPr>
          <w:rFonts w:hint="eastAsia" w:ascii="宋体" w:hAnsi="宋体"/>
          <w:color w:val="auto"/>
          <w:highlight w:val="none"/>
          <w:lang w:eastAsia="zh-CN"/>
        </w:rPr>
        <w:t>人</w:t>
      </w:r>
      <w:r>
        <w:rPr>
          <w:rFonts w:hint="default" w:ascii="宋体" w:hAnsi="宋体"/>
          <w:color w:val="auto"/>
          <w:highlight w:val="none"/>
          <w:lang w:eastAsia="zh-CN"/>
        </w:rPr>
        <w:t>网站（</w:t>
      </w:r>
      <w:r>
        <w:rPr>
          <w:rFonts w:hint="default" w:ascii="宋体" w:hAnsi="宋体" w:cs="宋体"/>
          <w:color w:val="auto"/>
          <w:highlight w:val="none"/>
        </w:rPr>
        <w:t>https://www.neidri.com.cn/</w:t>
      </w:r>
      <w:r>
        <w:rPr>
          <w:rFonts w:hint="default" w:ascii="宋体" w:hAnsi="宋体"/>
          <w:color w:val="auto"/>
          <w:highlight w:val="none"/>
          <w:lang w:eastAsia="zh-CN"/>
        </w:rPr>
        <w:t>）上发布。</w:t>
      </w:r>
    </w:p>
    <w:p w14:paraId="1485CDB6">
      <w:pPr>
        <w:widowControl/>
        <w:adjustRightInd w:val="0"/>
        <w:snapToGrid w:val="0"/>
        <w:spacing w:before="317" w:beforeLines="100" w:after="158" w:afterLines="50" w:line="400" w:lineRule="exact"/>
        <w:jc w:val="left"/>
        <w:outlineLvl w:val="1"/>
        <w:rPr>
          <w:rFonts w:ascii="黑体" w:eastAsia="黑体" w:hAnsiTheme="majorHAnsi" w:cstheme="majorBidi"/>
          <w:b/>
          <w:color w:val="000000" w:themeColor="text1"/>
          <w:kern w:val="0"/>
          <w:sz w:val="24"/>
          <w:highlight w:val="none"/>
          <w:lang w:bidi="en-US"/>
          <w14:textFill>
            <w14:solidFill>
              <w14:schemeClr w14:val="tx1"/>
            </w14:solidFill>
          </w14:textFill>
        </w:rPr>
      </w:pPr>
      <w:bookmarkStart w:id="17" w:name="_Toc1702"/>
      <w:bookmarkStart w:id="18" w:name="_Toc26152"/>
      <w:bookmarkStart w:id="19" w:name="_Toc62566123"/>
      <w:r>
        <w:rPr>
          <w:rFonts w:hint="eastAsia" w:ascii="黑体" w:eastAsia="黑体" w:hAnsiTheme="majorHAnsi" w:cstheme="majorBidi"/>
          <w:b/>
          <w:color w:val="000000" w:themeColor="text1"/>
          <w:kern w:val="0"/>
          <w:sz w:val="24"/>
          <w:highlight w:val="none"/>
          <w:lang w:bidi="en-US"/>
          <w14:textFill>
            <w14:solidFill>
              <w14:schemeClr w14:val="tx1"/>
            </w14:solidFill>
          </w14:textFill>
        </w:rPr>
        <w:t>7.采购文件获取联系方式</w:t>
      </w:r>
      <w:bookmarkEnd w:id="17"/>
      <w:bookmarkEnd w:id="18"/>
      <w:bookmarkEnd w:id="19"/>
    </w:p>
    <w:p w14:paraId="5402DC8F">
      <w:pPr>
        <w:adjustRightInd w:val="0"/>
        <w:snapToGrid w:val="0"/>
        <w:spacing w:line="400" w:lineRule="exact"/>
        <w:ind w:firstLine="480" w:firstLineChars="200"/>
        <w:rPr>
          <w:rFonts w:hint="default"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w:t>
      </w:r>
      <w:r>
        <w:rPr>
          <w:rFonts w:hint="default" w:ascii="宋体" w:hAnsi="宋体"/>
          <w:color w:val="000000"/>
          <w:highlight w:val="none"/>
          <w:lang w:eastAsia="zh-CN"/>
        </w:rPr>
        <w:t>中水东北勘测设计研究有限责任公司</w:t>
      </w:r>
    </w:p>
    <w:p w14:paraId="1F629C42">
      <w:pPr>
        <w:adjustRightInd w:val="0"/>
        <w:snapToGrid w:val="0"/>
        <w:spacing w:line="400" w:lineRule="exact"/>
        <w:ind w:firstLine="48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地址：</w:t>
      </w:r>
      <w:r>
        <w:rPr>
          <w:rFonts w:hint="default"/>
          <w:b w:val="0"/>
          <w:bCs/>
          <w:color w:val="000000"/>
          <w:highlight w:val="none"/>
        </w:rPr>
        <w:t>吉林省长春市朝阳区建设街377号</w:t>
      </w:r>
    </w:p>
    <w:p w14:paraId="44CA33AD">
      <w:pPr>
        <w:adjustRightInd w:val="0"/>
        <w:snapToGrid w:val="0"/>
        <w:spacing w:line="400" w:lineRule="exact"/>
        <w:ind w:firstLine="480" w:firstLineChars="200"/>
        <w:rPr>
          <w:rFonts w:hint="default"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邮编：</w:t>
      </w:r>
      <w:r>
        <w:rPr>
          <w:rFonts w:hint="default" w:ascii="宋体" w:hAnsi="宋体"/>
          <w:color w:val="000000" w:themeColor="text1"/>
          <w:highlight w:val="none"/>
          <w14:textFill>
            <w14:solidFill>
              <w14:schemeClr w14:val="tx1"/>
            </w14:solidFill>
          </w14:textFill>
        </w:rPr>
        <w:t>130061</w:t>
      </w:r>
    </w:p>
    <w:p w14:paraId="42E8AF26">
      <w:pPr>
        <w:adjustRightInd w:val="0"/>
        <w:snapToGrid w:val="0"/>
        <w:spacing w:line="400" w:lineRule="exact"/>
        <w:ind w:firstLine="480" w:firstLineChars="200"/>
        <w:outlineLvl w:val="2"/>
        <w:rPr>
          <w:rFonts w:hint="default" w:eastAsiaTheme="minorEastAsia"/>
          <w:highlight w:val="none"/>
          <w:lang w:val="en-US" w:eastAsia="zh-CN"/>
        </w:rPr>
      </w:pPr>
      <w:r>
        <w:rPr>
          <w:rFonts w:hint="eastAsia" w:ascii="宋体"/>
          <w:szCs w:val="21"/>
          <w:highlight w:val="none"/>
        </w:rPr>
        <w:t>联系人</w:t>
      </w:r>
      <w:r>
        <w:rPr>
          <w:rFonts w:hint="eastAsia"/>
          <w:highlight w:val="none"/>
        </w:rPr>
        <w:t>电话：</w:t>
      </w:r>
      <w:r>
        <w:rPr>
          <w:rFonts w:hint="eastAsia"/>
          <w:highlight w:val="none"/>
          <w:lang w:val="en-US" w:eastAsia="zh-CN"/>
        </w:rPr>
        <w:t>18584321253</w:t>
      </w:r>
    </w:p>
    <w:p w14:paraId="5638A480">
      <w:pPr>
        <w:adjustRightInd w:val="0"/>
        <w:snapToGrid w:val="0"/>
        <w:spacing w:line="400" w:lineRule="exact"/>
        <w:ind w:firstLine="480" w:firstLineChars="200"/>
        <w:outlineLvl w:val="2"/>
        <w:rPr>
          <w:rFonts w:hint="eastAsia" w:ascii="宋体" w:hAnsi="宋体"/>
          <w:color w:val="000000" w:themeColor="text1"/>
          <w:highlight w:val="none"/>
          <w14:textFill>
            <w14:solidFill>
              <w14:schemeClr w14:val="tx1"/>
            </w14:solidFill>
          </w14:textFill>
        </w:rPr>
        <w:sectPr>
          <w:pgSz w:w="11906" w:h="16838"/>
          <w:pgMar w:top="1417" w:right="1417" w:bottom="1417" w:left="1417" w:header="851" w:footer="992" w:gutter="0"/>
          <w:cols w:space="425" w:num="1"/>
          <w:docGrid w:type="lines" w:linePitch="312" w:charSpace="0"/>
        </w:sectPr>
      </w:pPr>
    </w:p>
    <w:p w14:paraId="1E5E2550">
      <w:pPr>
        <w:pStyle w:val="5"/>
        <w:widowControl/>
        <w:adjustRightInd w:val="0"/>
        <w:snapToGrid w:val="0"/>
        <w:spacing w:after="0"/>
        <w:jc w:val="center"/>
        <w:outlineLvl w:val="0"/>
        <w:rPr>
          <w:rFonts w:ascii="黑体" w:eastAsia="黑体" w:hAnsiTheme="majorHAnsi" w:cstheme="majorBidi"/>
          <w:b/>
          <w:color w:val="000000" w:themeColor="text1"/>
          <w:kern w:val="0"/>
          <w:sz w:val="28"/>
          <w:szCs w:val="28"/>
          <w:highlight w:val="none"/>
          <w:lang w:bidi="en-US"/>
          <w14:textFill>
            <w14:solidFill>
              <w14:schemeClr w14:val="tx1"/>
            </w14:solidFill>
          </w14:textFill>
        </w:rPr>
      </w:pPr>
      <w:r>
        <w:rPr>
          <w:rFonts w:hint="eastAsia" w:ascii="黑体" w:eastAsia="黑体" w:hAnsiTheme="majorHAnsi" w:cstheme="majorBidi"/>
          <w:b/>
          <w:color w:val="000000" w:themeColor="text1"/>
          <w:kern w:val="0"/>
          <w:sz w:val="28"/>
          <w:szCs w:val="28"/>
          <w:highlight w:val="none"/>
          <w:lang w:bidi="en-US"/>
          <w14:textFill>
            <w14:solidFill>
              <w14:schemeClr w14:val="tx1"/>
            </w14:solidFill>
          </w14:textFill>
        </w:rPr>
        <w:t>第二章  应答人须知</w:t>
      </w:r>
    </w:p>
    <w:p w14:paraId="3461125B">
      <w:pPr>
        <w:pStyle w:val="2"/>
        <w:keepNext w:val="0"/>
        <w:keepLines w:val="0"/>
        <w:numPr>
          <w:ilvl w:val="1"/>
          <w:numId w:val="0"/>
        </w:numPr>
        <w:tabs>
          <w:tab w:val="left" w:pos="802"/>
        </w:tabs>
        <w:autoSpaceDE w:val="0"/>
        <w:autoSpaceDN w:val="0"/>
        <w:spacing w:before="0" w:after="0" w:line="240" w:lineRule="auto"/>
        <w:jc w:val="left"/>
        <w:rPr>
          <w:rFonts w:ascii="黑体" w:hAnsi="黑体" w:eastAsia="黑体" w:cs="黑体"/>
          <w:color w:val="000000" w:themeColor="text1"/>
          <w:kern w:val="0"/>
          <w:sz w:val="24"/>
          <w:szCs w:val="24"/>
          <w:highlight w:val="none"/>
          <w14:textFill>
            <w14:solidFill>
              <w14:schemeClr w14:val="tx1"/>
            </w14:solidFill>
          </w14:textFill>
        </w:rPr>
      </w:pPr>
      <w:bookmarkStart w:id="20" w:name="_Toc12579"/>
      <w:bookmarkStart w:id="21" w:name="_Toc8798"/>
      <w:bookmarkStart w:id="22" w:name="_Toc62566135"/>
      <w:r>
        <w:rPr>
          <w:rFonts w:hint="eastAsia" w:ascii="黑体" w:hAnsi="黑体" w:eastAsia="黑体" w:cs="黑体"/>
          <w:color w:val="000000" w:themeColor="text1"/>
          <w:kern w:val="0"/>
          <w:sz w:val="24"/>
          <w:szCs w:val="24"/>
          <w:highlight w:val="none"/>
          <w14:textFill>
            <w14:solidFill>
              <w14:schemeClr w14:val="tx1"/>
            </w14:solidFill>
          </w14:textFill>
        </w:rPr>
        <w:t>应答人须知前附表</w:t>
      </w:r>
      <w:bookmarkEnd w:id="20"/>
      <w:bookmarkEnd w:id="21"/>
      <w:bookmarkEnd w:id="22"/>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53"/>
        <w:gridCol w:w="1461"/>
        <w:gridCol w:w="6310"/>
      </w:tblGrid>
      <w:tr w14:paraId="644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3" w:type="pct"/>
            <w:gridSpan w:val="2"/>
            <w:vAlign w:val="center"/>
          </w:tcPr>
          <w:p w14:paraId="7ECA8F01">
            <w:pPr>
              <w:adjustRightInd w:val="0"/>
              <w:snapToGrid w:val="0"/>
              <w:spacing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87" w:type="pct"/>
            <w:vAlign w:val="center"/>
          </w:tcPr>
          <w:p w14:paraId="0B5A2524">
            <w:pPr>
              <w:adjustRightInd w:val="0"/>
              <w:snapToGrid w:val="0"/>
              <w:spacing w:before="158" w:beforeLines="50" w:after="158" w:afterLines="50"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3399" w:type="pct"/>
            <w:vAlign w:val="center"/>
          </w:tcPr>
          <w:p w14:paraId="615B58F0">
            <w:pPr>
              <w:adjustRightInd w:val="0"/>
              <w:snapToGrid w:val="0"/>
              <w:spacing w:before="158" w:beforeLines="50" w:after="158" w:afterLines="50"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14:paraId="54F4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280BE2DF">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总则</w:t>
            </w:r>
          </w:p>
        </w:tc>
        <w:tc>
          <w:tcPr>
            <w:tcW w:w="567" w:type="pct"/>
            <w:vAlign w:val="center"/>
          </w:tcPr>
          <w:p w14:paraId="56ED2B79">
            <w:pPr>
              <w:adjustRightInd w:val="0"/>
              <w:snapToGrid w:val="0"/>
              <w:spacing w:before="158" w:beforeLines="50" w:after="158" w:afterLines="50" w:line="24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787" w:type="pct"/>
            <w:vAlign w:val="center"/>
          </w:tcPr>
          <w:p w14:paraId="609F033B">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3399" w:type="pct"/>
            <w:vAlign w:val="center"/>
          </w:tcPr>
          <w:p w14:paraId="06A873EE">
            <w:pPr>
              <w:adjustRightInd w:val="0"/>
              <w:snapToGrid w:val="0"/>
              <w:spacing w:before="158" w:beforeLines="50" w:after="158" w:afterLines="50" w:line="240" w:lineRule="auto"/>
              <w:jc w:val="left"/>
              <w:rPr>
                <w:rFonts w:hint="default" w:ascii="宋体" w:hAnsi="宋体" w:cs="宋体"/>
                <w:szCs w:val="21"/>
                <w:highlight w:val="none"/>
              </w:rPr>
            </w:pPr>
            <w:r>
              <w:rPr>
                <w:rFonts w:hint="default" w:ascii="宋体" w:hAnsi="宋体" w:cs="宋体"/>
                <w:szCs w:val="21"/>
                <w:highlight w:val="none"/>
              </w:rPr>
              <w:t>不允许</w:t>
            </w:r>
          </w:p>
        </w:tc>
      </w:tr>
      <w:tr w14:paraId="490C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 w:type="pct"/>
            <w:vMerge w:val="restart"/>
            <w:vAlign w:val="center"/>
          </w:tcPr>
          <w:p w14:paraId="267654A1">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应答文件编制注意事项</w:t>
            </w:r>
          </w:p>
        </w:tc>
        <w:tc>
          <w:tcPr>
            <w:tcW w:w="567" w:type="pct"/>
            <w:vAlign w:val="center"/>
          </w:tcPr>
          <w:p w14:paraId="2219CAA1">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w:t>
            </w:r>
          </w:p>
        </w:tc>
        <w:tc>
          <w:tcPr>
            <w:tcW w:w="787" w:type="pct"/>
            <w:vAlign w:val="center"/>
          </w:tcPr>
          <w:p w14:paraId="313134DD">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en-US"/>
                <w14:textFill>
                  <w14:solidFill>
                    <w14:schemeClr w14:val="tx1"/>
                  </w14:solidFill>
                </w14:textFill>
              </w:rPr>
              <w:t>报价方式</w:t>
            </w:r>
          </w:p>
        </w:tc>
        <w:tc>
          <w:tcPr>
            <w:tcW w:w="3399" w:type="pct"/>
            <w:vAlign w:val="center"/>
          </w:tcPr>
          <w:p w14:paraId="181B2B5D">
            <w:pPr>
              <w:adjustRightInd w:val="0"/>
              <w:snapToGrid w:val="0"/>
              <w:spacing w:before="158" w:beforeLines="50" w:after="158" w:afterLines="50" w:line="240" w:lineRule="auto"/>
              <w:jc w:val="left"/>
              <w:rPr>
                <w:rFonts w:hint="default" w:ascii="宋体" w:hAnsi="宋体" w:cs="宋体"/>
                <w:szCs w:val="21"/>
                <w:highlight w:val="none"/>
              </w:rPr>
            </w:pPr>
            <w:r>
              <w:rPr>
                <w:rFonts w:hint="default" w:ascii="宋体" w:hAnsi="宋体" w:cs="宋体"/>
                <w:szCs w:val="21"/>
                <w:highlight w:val="none"/>
              </w:rPr>
              <w:t>总价</w:t>
            </w:r>
          </w:p>
        </w:tc>
      </w:tr>
      <w:tr w14:paraId="1B80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5" w:type="pct"/>
            <w:vMerge w:val="continue"/>
            <w:vAlign w:val="center"/>
          </w:tcPr>
          <w:p w14:paraId="00BE9A1C">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74398CAD">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w:t>
            </w:r>
          </w:p>
        </w:tc>
        <w:tc>
          <w:tcPr>
            <w:tcW w:w="787" w:type="pct"/>
            <w:vAlign w:val="center"/>
          </w:tcPr>
          <w:p w14:paraId="2505F6B3">
            <w:pPr>
              <w:adjustRightInd w:val="0"/>
              <w:snapToGrid w:val="0"/>
              <w:spacing w:before="158" w:beforeLines="50" w:after="158" w:afterLines="50"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最高限价</w:t>
            </w:r>
          </w:p>
        </w:tc>
        <w:tc>
          <w:tcPr>
            <w:tcW w:w="3399" w:type="pct"/>
            <w:vAlign w:val="center"/>
          </w:tcPr>
          <w:p w14:paraId="4C7345DB">
            <w:pPr>
              <w:adjustRightInd w:val="0"/>
              <w:snapToGrid w:val="0"/>
              <w:spacing w:before="158" w:beforeLines="50" w:after="158" w:afterLines="50" w:line="240" w:lineRule="auto"/>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val="en-US" w:eastAsia="zh-CN"/>
              </w:rPr>
              <w:t>63.2</w:t>
            </w:r>
            <w:r>
              <w:rPr>
                <w:rFonts w:hint="default" w:ascii="宋体" w:hAnsi="宋体" w:cs="宋体"/>
                <w:szCs w:val="21"/>
                <w:highlight w:val="none"/>
              </w:rPr>
              <w:t>万元</w:t>
            </w:r>
          </w:p>
        </w:tc>
      </w:tr>
      <w:tr w14:paraId="3E4D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5" w:type="pct"/>
            <w:vMerge w:val="continue"/>
            <w:vAlign w:val="center"/>
          </w:tcPr>
          <w:p w14:paraId="27DEE0A9">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25F2B5DE">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w:t>
            </w:r>
          </w:p>
          <w:p w14:paraId="0AB738B5">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新增</w:t>
            </w:r>
          </w:p>
        </w:tc>
        <w:tc>
          <w:tcPr>
            <w:tcW w:w="787" w:type="pct"/>
            <w:vAlign w:val="center"/>
          </w:tcPr>
          <w:p w14:paraId="6D290F94">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预估采购规模</w:t>
            </w:r>
          </w:p>
        </w:tc>
        <w:tc>
          <w:tcPr>
            <w:tcW w:w="3399" w:type="pct"/>
            <w:vAlign w:val="center"/>
          </w:tcPr>
          <w:p w14:paraId="467F8687">
            <w:pPr>
              <w:adjustRightInd w:val="0"/>
              <w:snapToGrid w:val="0"/>
              <w:spacing w:before="158" w:beforeLines="50" w:after="158" w:afterLines="50" w:line="240" w:lineRule="auto"/>
              <w:jc w:val="left"/>
              <w:rPr>
                <w:rFonts w:hint="default" w:ascii="宋体" w:hAnsi="宋体" w:cs="宋体"/>
                <w:szCs w:val="21"/>
                <w:highlight w:val="none"/>
              </w:rPr>
            </w:pPr>
            <w:r>
              <w:rPr>
                <w:rFonts w:hint="default" w:ascii="宋体" w:hAnsi="宋体" w:cs="宋体"/>
                <w:szCs w:val="21"/>
                <w:highlight w:val="none"/>
              </w:rPr>
              <w:t>见第四章工程量清单</w:t>
            </w:r>
          </w:p>
        </w:tc>
      </w:tr>
      <w:tr w14:paraId="29AC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5" w:type="pct"/>
            <w:vMerge w:val="continue"/>
            <w:vAlign w:val="center"/>
          </w:tcPr>
          <w:p w14:paraId="6725072D">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5D7F39F6">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787" w:type="pct"/>
            <w:vAlign w:val="center"/>
          </w:tcPr>
          <w:p w14:paraId="1D9293EA">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应答有效期</w:t>
            </w:r>
          </w:p>
        </w:tc>
        <w:tc>
          <w:tcPr>
            <w:tcW w:w="3399" w:type="pct"/>
            <w:vAlign w:val="center"/>
          </w:tcPr>
          <w:p w14:paraId="3C6B51DA">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自应答截止日起</w:t>
            </w:r>
            <w:r>
              <w:rPr>
                <w:rFonts w:hint="eastAsia" w:ascii="宋体" w:hAnsi="宋体" w:cs="宋体"/>
                <w:color w:val="000000" w:themeColor="text1"/>
                <w:szCs w:val="21"/>
                <w:highlight w:val="none"/>
                <w:lang w:val="en-US" w:eastAsia="zh-CN"/>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14:paraId="0A04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5" w:type="pct"/>
            <w:vMerge w:val="continue"/>
            <w:vAlign w:val="center"/>
          </w:tcPr>
          <w:p w14:paraId="78B3AC8D">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61AC58CC">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787" w:type="pct"/>
            <w:vAlign w:val="center"/>
          </w:tcPr>
          <w:p w14:paraId="431D5534">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应答保证金</w:t>
            </w:r>
          </w:p>
        </w:tc>
        <w:tc>
          <w:tcPr>
            <w:tcW w:w="3399" w:type="pct"/>
            <w:vAlign w:val="center"/>
          </w:tcPr>
          <w:p w14:paraId="1D44EF11">
            <w:pPr>
              <w:widowControl/>
              <w:shd w:val="clear" w:color="auto" w:fill="FFFFFF" w:themeFill="background1"/>
              <w:spacing w:line="240" w:lineRule="auto"/>
              <w:rPr>
                <w:color w:val="000000" w:themeColor="text1"/>
                <w:sz w:val="21"/>
                <w:szCs w:val="21"/>
                <w:highlight w:val="none"/>
                <w14:textFill>
                  <w14:solidFill>
                    <w14:schemeClr w14:val="tx1"/>
                  </w14:solidFill>
                </w14:textFill>
              </w:rPr>
            </w:pPr>
            <w:r>
              <w:rPr>
                <w:rFonts w:hint="eastAsia" w:ascii="宋体" w:hAnsi="宋体" w:cs="宋体"/>
                <w:color w:val="auto"/>
                <w:szCs w:val="21"/>
                <w:highlight w:val="none"/>
                <w:lang w:val="en-US" w:eastAsia="zh-CN"/>
              </w:rPr>
              <w:t>本项目免收应答保证金，采购文件中保证金的相关要求均不适用。</w:t>
            </w:r>
          </w:p>
        </w:tc>
      </w:tr>
      <w:tr w14:paraId="66FA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45" w:type="pct"/>
            <w:vMerge w:val="continue"/>
            <w:vAlign w:val="center"/>
          </w:tcPr>
          <w:p w14:paraId="4919A942">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7E41D642">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3.4.3</w:t>
            </w:r>
          </w:p>
        </w:tc>
        <w:tc>
          <w:tcPr>
            <w:tcW w:w="787" w:type="pct"/>
            <w:vAlign w:val="center"/>
          </w:tcPr>
          <w:p w14:paraId="6D30A251">
            <w:pPr>
              <w:adjustRightInd w:val="0"/>
              <w:snapToGrid w:val="0"/>
              <w:spacing w:before="158" w:beforeLines="50" w:after="158" w:afterLines="50" w:line="240" w:lineRule="auto"/>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应答保证金的退还</w:t>
            </w:r>
          </w:p>
        </w:tc>
        <w:tc>
          <w:tcPr>
            <w:tcW w:w="3399" w:type="pct"/>
            <w:vAlign w:val="center"/>
          </w:tcPr>
          <w:p w14:paraId="435CF3E9">
            <w:pPr>
              <w:spacing w:line="240" w:lineRule="auto"/>
              <w:rPr>
                <w:rFonts w:ascii="宋体" w:hAnsi="宋体" w:cs="宋体"/>
                <w:color w:val="auto"/>
                <w:highlight w:val="none"/>
              </w:rPr>
            </w:pPr>
            <w:r>
              <w:rPr>
                <w:rFonts w:hint="eastAsia" w:ascii="宋体" w:hAnsi="宋体" w:cs="宋体"/>
                <w:color w:val="auto"/>
                <w:highlight w:val="none"/>
                <w:shd w:val="clear"/>
                <w:lang w:val="en-US" w:eastAsia="zh-CN"/>
              </w:rPr>
              <w:t>不适用</w:t>
            </w:r>
          </w:p>
        </w:tc>
      </w:tr>
      <w:tr w14:paraId="222D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45" w:type="pct"/>
            <w:vMerge w:val="continue"/>
            <w:vAlign w:val="center"/>
          </w:tcPr>
          <w:p w14:paraId="4D37C75D">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7C7425CF">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787" w:type="pct"/>
            <w:vAlign w:val="center"/>
          </w:tcPr>
          <w:p w14:paraId="34A3E110">
            <w:pPr>
              <w:adjustRightInd w:val="0"/>
              <w:snapToGrid w:val="0"/>
              <w:spacing w:before="158" w:beforeLines="50" w:after="158" w:afterLines="50" w:line="240" w:lineRule="auto"/>
              <w:jc w:val="center"/>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资格审查资料的特殊要求</w:t>
            </w:r>
          </w:p>
        </w:tc>
        <w:tc>
          <w:tcPr>
            <w:tcW w:w="3399" w:type="pct"/>
            <w:vAlign w:val="center"/>
          </w:tcPr>
          <w:p w14:paraId="6536093A">
            <w:pPr>
              <w:pStyle w:val="22"/>
              <w:adjustRightInd w:val="0"/>
              <w:snapToGrid w:val="0"/>
              <w:spacing w:before="158" w:beforeLines="50" w:after="158" w:afterLines="50" w:line="240" w:lineRule="auto"/>
              <w:rPr>
                <w:rFonts w:hint="default"/>
                <w:color w:val="FF0000"/>
                <w:sz w:val="21"/>
                <w:szCs w:val="21"/>
                <w:highlight w:val="none"/>
              </w:rPr>
            </w:pPr>
            <w:r>
              <w:rPr>
                <w:rFonts w:hint="default" w:cs="宋体"/>
                <w:color w:val="000000" w:themeColor="text1"/>
                <w:highlight w:val="none"/>
                <w14:textFill>
                  <w14:solidFill>
                    <w14:schemeClr w14:val="tx1"/>
                  </w14:solidFill>
                </w14:textFill>
              </w:rPr>
              <w:t>无</w:t>
            </w:r>
          </w:p>
        </w:tc>
      </w:tr>
      <w:tr w14:paraId="2727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45" w:type="pct"/>
            <w:vMerge w:val="continue"/>
            <w:vAlign w:val="center"/>
          </w:tcPr>
          <w:p w14:paraId="7CCC3090">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5B0DB902">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w:t>
            </w:r>
          </w:p>
        </w:tc>
        <w:tc>
          <w:tcPr>
            <w:tcW w:w="787" w:type="pct"/>
            <w:vAlign w:val="center"/>
          </w:tcPr>
          <w:p w14:paraId="7B0F6BE5">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应答文件盖章要求</w:t>
            </w:r>
          </w:p>
        </w:tc>
        <w:tc>
          <w:tcPr>
            <w:tcW w:w="3399" w:type="pct"/>
            <w:vAlign w:val="center"/>
          </w:tcPr>
          <w:p w14:paraId="516B9B9C">
            <w:pPr>
              <w:snapToGrid w:val="0"/>
              <w:spacing w:before="158" w:beforeLines="50" w:after="158" w:afterLines="50" w:line="240" w:lineRule="auto"/>
              <w:rPr>
                <w:rFonts w:hint="eastAsia" w:ascii="宋体" w:hAnsi="宋体" w:eastAsia="宋体" w:cs="宋体"/>
                <w:highlight w:val="none"/>
              </w:rPr>
            </w:pPr>
            <w:r>
              <w:rPr>
                <w:rFonts w:hint="eastAsia" w:ascii="宋体" w:hAnsi="宋体" w:eastAsia="宋体" w:cs="宋体"/>
                <w:highlight w:val="none"/>
              </w:rPr>
              <w:t>（1）第</w:t>
            </w:r>
            <w:r>
              <w:rPr>
                <w:rFonts w:hint="default" w:ascii="宋体" w:hAnsi="宋体" w:eastAsia="宋体" w:cs="宋体"/>
                <w:highlight w:val="none"/>
              </w:rPr>
              <w:t>六</w:t>
            </w:r>
            <w:r>
              <w:rPr>
                <w:rFonts w:hint="eastAsia" w:ascii="宋体" w:hAnsi="宋体" w:eastAsia="宋体" w:cs="宋体"/>
                <w:highlight w:val="none"/>
              </w:rPr>
              <w:t>章应答文件格式中明确标明签字或盖章的文件，应打印并进行线下签字或盖章，然后以图片格式纵向插入编制的文件中。</w:t>
            </w:r>
          </w:p>
          <w:p w14:paraId="06E68495">
            <w:pPr>
              <w:snapToGrid w:val="0"/>
              <w:spacing w:before="158" w:beforeLines="50" w:after="158" w:afterLines="50" w:line="240" w:lineRule="auto"/>
              <w:rPr>
                <w:rFonts w:hint="eastAsia" w:ascii="宋体" w:hAnsi="宋体" w:eastAsia="宋体" w:cs="宋体"/>
                <w:highlight w:val="none"/>
              </w:rPr>
            </w:pPr>
            <w:r>
              <w:rPr>
                <w:rFonts w:hint="default" w:ascii="宋体" w:hAnsi="宋体" w:eastAsia="宋体" w:cs="宋体"/>
                <w:highlight w:val="none"/>
              </w:rPr>
              <w:t>（2）</w:t>
            </w:r>
            <w:r>
              <w:rPr>
                <w:rFonts w:hint="eastAsia" w:ascii="宋体" w:hAnsi="宋体" w:eastAsia="宋体" w:cs="宋体"/>
                <w:highlight w:val="none"/>
              </w:rPr>
              <w:t>第</w:t>
            </w:r>
            <w:r>
              <w:rPr>
                <w:rFonts w:hint="default" w:ascii="宋体" w:hAnsi="宋体" w:eastAsia="宋体" w:cs="宋体"/>
                <w:highlight w:val="none"/>
              </w:rPr>
              <w:t>六</w:t>
            </w:r>
            <w:r>
              <w:rPr>
                <w:rFonts w:hint="eastAsia" w:ascii="宋体" w:hAnsi="宋体" w:eastAsia="宋体" w:cs="宋体"/>
                <w:highlight w:val="none"/>
              </w:rPr>
              <w:t>章应答文件格式中提供了格式文件的，应答人应按格式进行编制。对上述格式文件进行实质性修改或未按格式进行签署的文件，视为无效文件。</w:t>
            </w:r>
          </w:p>
          <w:p w14:paraId="7F576A20">
            <w:pPr>
              <w:pStyle w:val="14"/>
              <w:spacing w:line="240" w:lineRule="auto"/>
              <w:ind w:firstLine="0"/>
              <w:rPr>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应答人如在应答文件中使用</w:t>
            </w:r>
            <w:r>
              <w:rPr>
                <w:rFonts w:hint="eastAsia" w:ascii="宋体" w:hAnsi="宋体" w:cs="宋体"/>
                <w:color w:val="auto"/>
                <w:highlight w:val="none"/>
                <w:lang w:eastAsia="zh-CN"/>
              </w:rPr>
              <w:t>投标专用章</w:t>
            </w:r>
            <w:r>
              <w:rPr>
                <w:rFonts w:hint="eastAsia" w:ascii="宋体" w:hAnsi="宋体" w:eastAsia="宋体" w:cs="宋体"/>
                <w:color w:val="auto"/>
                <w:highlight w:val="none"/>
              </w:rPr>
              <w:t>，应提供法定代表人（单位负责人）签字或加盖公章说明该“</w:t>
            </w:r>
            <w:r>
              <w:rPr>
                <w:rFonts w:hint="eastAsia" w:ascii="宋体" w:hAnsi="宋体" w:cs="宋体"/>
                <w:color w:val="auto"/>
                <w:highlight w:val="none"/>
                <w:lang w:eastAsia="zh-CN"/>
              </w:rPr>
              <w:t>投标专用章</w:t>
            </w:r>
            <w:r>
              <w:rPr>
                <w:rFonts w:hint="eastAsia" w:ascii="宋体" w:hAnsi="宋体" w:eastAsia="宋体" w:cs="宋体"/>
                <w:color w:val="auto"/>
                <w:highlight w:val="none"/>
              </w:rPr>
              <w:t>”与公章具备同等效力的证明文件。</w:t>
            </w:r>
          </w:p>
        </w:tc>
      </w:tr>
      <w:tr w14:paraId="2FCD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45" w:type="pct"/>
            <w:vMerge w:val="continue"/>
            <w:vAlign w:val="center"/>
          </w:tcPr>
          <w:p w14:paraId="564A654A">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76B4BA44">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w:t>
            </w:r>
          </w:p>
          <w:p w14:paraId="78AB6DE2">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新增</w:t>
            </w:r>
          </w:p>
        </w:tc>
        <w:tc>
          <w:tcPr>
            <w:tcW w:w="787" w:type="pct"/>
            <w:vAlign w:val="center"/>
          </w:tcPr>
          <w:p w14:paraId="54A54664">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近年财务状况的年份要求</w:t>
            </w:r>
          </w:p>
        </w:tc>
        <w:tc>
          <w:tcPr>
            <w:tcW w:w="3399" w:type="pct"/>
            <w:vAlign w:val="center"/>
          </w:tcPr>
          <w:p w14:paraId="11232CA2">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近一年</w:t>
            </w:r>
          </w:p>
        </w:tc>
      </w:tr>
      <w:tr w14:paraId="005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45" w:type="pct"/>
            <w:vMerge w:val="continue"/>
            <w:vAlign w:val="center"/>
          </w:tcPr>
          <w:p w14:paraId="43A3D46F">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0A48DB9C">
            <w:pPr>
              <w:pStyle w:val="14"/>
              <w:adjustRightInd w:val="0"/>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3.5.5新增</w:t>
            </w:r>
          </w:p>
        </w:tc>
        <w:tc>
          <w:tcPr>
            <w:tcW w:w="787" w:type="pct"/>
            <w:vAlign w:val="center"/>
          </w:tcPr>
          <w:p w14:paraId="70BD0017">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应答文件编制要求</w:t>
            </w:r>
          </w:p>
        </w:tc>
        <w:tc>
          <w:tcPr>
            <w:tcW w:w="3399" w:type="pct"/>
            <w:vAlign w:val="center"/>
          </w:tcPr>
          <w:p w14:paraId="09FA3514">
            <w:pPr>
              <w:adjustRightInd w:val="0"/>
              <w:snapToGrid w:val="0"/>
              <w:spacing w:before="158" w:beforeLines="50" w:after="158" w:afterLines="50" w:line="240" w:lineRule="auto"/>
              <w:rPr>
                <w:rFonts w:ascii="宋体" w:hAnsi="宋体" w:cs="宋体"/>
                <w:szCs w:val="21"/>
                <w:highlight w:val="none"/>
              </w:rPr>
            </w:pPr>
            <w:r>
              <w:rPr>
                <w:rFonts w:hint="eastAsia" w:ascii="宋体" w:hAnsi="宋体" w:cs="宋体"/>
                <w:bCs/>
                <w:color w:val="000000" w:themeColor="text1"/>
                <w:szCs w:val="21"/>
                <w:highlight w:val="none"/>
                <w14:textFill>
                  <w14:solidFill>
                    <w14:schemeClr w14:val="tx1"/>
                  </w14:solidFill>
                </w14:textFill>
              </w:rPr>
              <w:t>对应答人提供的采购文件要求之外的文件，评审</w:t>
            </w:r>
            <w:r>
              <w:rPr>
                <w:rFonts w:hint="default" w:ascii="宋体" w:hAnsi="宋体" w:cs="宋体"/>
                <w:bCs/>
                <w:color w:val="000000" w:themeColor="text1"/>
                <w:szCs w:val="21"/>
                <w:highlight w:val="none"/>
                <w14:textFill>
                  <w14:solidFill>
                    <w14:schemeClr w14:val="tx1"/>
                  </w14:solidFill>
                </w14:textFill>
              </w:rPr>
              <w:t>小组</w:t>
            </w:r>
            <w:r>
              <w:rPr>
                <w:rFonts w:hint="eastAsia" w:ascii="宋体" w:hAnsi="宋体" w:cs="宋体"/>
                <w:bCs/>
                <w:color w:val="000000" w:themeColor="text1"/>
                <w:szCs w:val="21"/>
                <w:highlight w:val="none"/>
                <w14:textFill>
                  <w14:solidFill>
                    <w14:schemeClr w14:val="tx1"/>
                  </w14:solidFill>
                </w14:textFill>
              </w:rPr>
              <w:t>不作评审。</w:t>
            </w:r>
          </w:p>
        </w:tc>
      </w:tr>
      <w:tr w14:paraId="0FBF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45" w:type="pct"/>
            <w:vMerge w:val="continue"/>
            <w:vAlign w:val="center"/>
          </w:tcPr>
          <w:p w14:paraId="0B98FD8D">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542F80F8">
            <w:pPr>
              <w:pStyle w:val="14"/>
              <w:adjustRightInd w:val="0"/>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3.5.6新增</w:t>
            </w:r>
          </w:p>
        </w:tc>
        <w:tc>
          <w:tcPr>
            <w:tcW w:w="787" w:type="pct"/>
            <w:vAlign w:val="center"/>
          </w:tcPr>
          <w:p w14:paraId="28936C84">
            <w:pPr>
              <w:adjustRightInd w:val="0"/>
              <w:snapToGrid w:val="0"/>
              <w:spacing w:before="158" w:beforeLines="50" w:after="158" w:afterLines="50" w:line="240" w:lineRule="auto"/>
              <w:jc w:val="center"/>
              <w:rPr>
                <w:rFonts w:ascii="宋体" w:hAnsi="宋体" w:cs="宋体"/>
                <w:color w:val="000000" w:themeColor="text1"/>
                <w:kern w:val="0"/>
                <w:szCs w:val="21"/>
                <w:highlight w:val="none"/>
                <w:lang w:bidi="zh-CN"/>
                <w14:textFill>
                  <w14:solidFill>
                    <w14:schemeClr w14:val="tx1"/>
                  </w14:solidFill>
                </w14:textFill>
              </w:rPr>
            </w:pPr>
            <w:r>
              <w:rPr>
                <w:rFonts w:hint="eastAsia" w:ascii="宋体" w:hAnsi="宋体" w:cs="宋体"/>
                <w:color w:val="000000" w:themeColor="text1"/>
                <w:kern w:val="0"/>
                <w:szCs w:val="21"/>
                <w:highlight w:val="none"/>
                <w:lang w:bidi="zh-CN"/>
                <w14:textFill>
                  <w14:solidFill>
                    <w14:schemeClr w14:val="tx1"/>
                  </w14:solidFill>
                </w14:textFill>
              </w:rPr>
              <w:t>应答文件效力</w:t>
            </w:r>
          </w:p>
        </w:tc>
        <w:tc>
          <w:tcPr>
            <w:tcW w:w="3399" w:type="pct"/>
            <w:vAlign w:val="center"/>
          </w:tcPr>
          <w:p w14:paraId="491F6853">
            <w:pPr>
              <w:adjustRightInd w:val="0"/>
              <w:snapToGrid w:val="0"/>
              <w:spacing w:before="158" w:beforeLines="50" w:after="158" w:afterLines="50" w:line="240" w:lineRule="auto"/>
              <w:rPr>
                <w:highlight w:val="none"/>
              </w:rPr>
            </w:pPr>
            <w:r>
              <w:rPr>
                <w:rFonts w:hint="eastAsia" w:ascii="宋体" w:hAnsi="宋体" w:cs="宋体"/>
                <w:color w:val="auto"/>
                <w:kern w:val="0"/>
                <w:szCs w:val="21"/>
                <w:highlight w:val="none"/>
                <w:lang w:bidi="zh-CN"/>
              </w:rPr>
              <w:t>全部文件应</w:t>
            </w:r>
            <w:r>
              <w:rPr>
                <w:rFonts w:hint="default" w:ascii="宋体" w:hAnsi="宋体" w:cs="宋体"/>
                <w:color w:val="auto"/>
                <w:kern w:val="0"/>
                <w:szCs w:val="21"/>
                <w:highlight w:val="none"/>
                <w:lang w:bidi="zh-CN"/>
              </w:rPr>
              <w:t>加密后</w:t>
            </w:r>
            <w:r>
              <w:rPr>
                <w:rFonts w:hint="eastAsia" w:ascii="宋体" w:hAnsi="宋体" w:cs="宋体"/>
                <w:color w:val="auto"/>
                <w:kern w:val="0"/>
                <w:szCs w:val="21"/>
                <w:highlight w:val="none"/>
                <w:lang w:bidi="zh-CN"/>
              </w:rPr>
              <w:t>上传</w:t>
            </w:r>
            <w:r>
              <w:rPr>
                <w:rFonts w:hint="default" w:ascii="宋体" w:hAnsi="宋体" w:cs="宋体"/>
                <w:color w:val="auto"/>
                <w:kern w:val="0"/>
                <w:szCs w:val="21"/>
                <w:highlight w:val="none"/>
                <w:lang w:bidi="zh-CN"/>
              </w:rPr>
              <w:t>至招标人邮箱</w:t>
            </w:r>
            <w:r>
              <w:rPr>
                <w:rFonts w:hint="eastAsia" w:ascii="宋体" w:hAnsi="宋体" w:cs="宋体"/>
                <w:color w:val="auto"/>
                <w:kern w:val="0"/>
                <w:szCs w:val="21"/>
                <w:highlight w:val="none"/>
                <w:lang w:bidi="zh-CN"/>
              </w:rPr>
              <w:t>。</w:t>
            </w:r>
          </w:p>
        </w:tc>
      </w:tr>
      <w:tr w14:paraId="16D3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5" w:type="pct"/>
            <w:vAlign w:val="center"/>
          </w:tcPr>
          <w:p w14:paraId="3045ADC8">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应答文件递交</w:t>
            </w:r>
          </w:p>
        </w:tc>
        <w:tc>
          <w:tcPr>
            <w:tcW w:w="567" w:type="pct"/>
            <w:vAlign w:val="center"/>
          </w:tcPr>
          <w:p w14:paraId="63784C5A">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w:t>
            </w:r>
          </w:p>
        </w:tc>
        <w:tc>
          <w:tcPr>
            <w:tcW w:w="787" w:type="pct"/>
            <w:vAlign w:val="center"/>
          </w:tcPr>
          <w:p w14:paraId="7387F94E">
            <w:pPr>
              <w:adjustRightInd w:val="0"/>
              <w:snapToGrid w:val="0"/>
              <w:spacing w:before="158" w:beforeLines="50" w:after="158" w:afterLines="50" w:line="240" w:lineRule="auto"/>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w:t>
            </w:r>
            <w:r>
              <w:rPr>
                <w:rFonts w:hint="eastAsia" w:ascii="宋体" w:hAnsi="宋体" w:cs="宋体"/>
                <w:color w:val="000000" w:themeColor="text1"/>
                <w:kern w:val="0"/>
                <w:szCs w:val="21"/>
                <w:highlight w:val="none"/>
                <w14:textFill>
                  <w14:solidFill>
                    <w14:schemeClr w14:val="tx1"/>
                  </w14:solidFill>
                </w14:textFill>
              </w:rPr>
              <w:t>文件的</w:t>
            </w:r>
            <w:r>
              <w:rPr>
                <w:rFonts w:hint="default" w:ascii="宋体" w:hAnsi="宋体" w:cs="宋体"/>
                <w:color w:val="000000" w:themeColor="text1"/>
                <w:kern w:val="0"/>
                <w:szCs w:val="21"/>
                <w:highlight w:val="none"/>
                <w14:textFill>
                  <w14:solidFill>
                    <w14:schemeClr w14:val="tx1"/>
                  </w14:solidFill>
                </w14:textFill>
              </w:rPr>
              <w:t>装订与密封</w:t>
            </w:r>
          </w:p>
        </w:tc>
        <w:tc>
          <w:tcPr>
            <w:tcW w:w="3399" w:type="pct"/>
            <w:vAlign w:val="center"/>
          </w:tcPr>
          <w:p w14:paraId="2F69ED3B">
            <w:pPr>
              <w:pStyle w:val="23"/>
              <w:widowControl w:val="0"/>
              <w:adjustRightInd w:val="0"/>
              <w:snapToGrid w:val="0"/>
              <w:spacing w:before="158" w:beforeLines="50" w:after="158" w:afterLines="50" w:line="240" w:lineRule="auto"/>
              <w:rPr>
                <w:rFonts w:hint="eastAsia" w:ascii="宋体" w:hAnsi="宋体" w:cs="宋体"/>
                <w:color w:val="000000" w:themeColor="text1"/>
                <w:kern w:val="0"/>
                <w:sz w:val="24"/>
                <w:szCs w:val="24"/>
                <w:highlight w:val="none"/>
                <w:lang w:bidi="zh-CN"/>
                <w14:textFill>
                  <w14:solidFill>
                    <w14:schemeClr w14:val="tx1"/>
                  </w14:solidFill>
                </w14:textFill>
              </w:rPr>
            </w:pPr>
            <w:r>
              <w:rPr>
                <w:rFonts w:hint="eastAsia" w:ascii="宋体" w:hAnsi="宋体" w:cs="宋体"/>
                <w:color w:val="000000" w:themeColor="text1"/>
                <w:kern w:val="0"/>
                <w:sz w:val="24"/>
                <w:szCs w:val="24"/>
                <w:highlight w:val="none"/>
                <w:lang w:bidi="zh-CN"/>
                <w14:textFill>
                  <w14:solidFill>
                    <w14:schemeClr w14:val="tx1"/>
                  </w14:solidFill>
                </w14:textFill>
              </w:rPr>
              <w:t>应答人</w:t>
            </w:r>
            <w:r>
              <w:rPr>
                <w:rFonts w:hint="default" w:ascii="宋体" w:hAnsi="宋体" w:cs="宋体"/>
                <w:color w:val="000000" w:themeColor="text1"/>
                <w:kern w:val="0"/>
                <w:sz w:val="24"/>
                <w:szCs w:val="24"/>
                <w:highlight w:val="none"/>
                <w:lang w:bidi="zh-CN"/>
                <w14:textFill>
                  <w14:solidFill>
                    <w14:schemeClr w14:val="tx1"/>
                  </w14:solidFill>
                </w14:textFill>
              </w:rPr>
              <w:t>提交的纸质版应答文件，</w:t>
            </w:r>
            <w:r>
              <w:rPr>
                <w:rFonts w:hint="eastAsia" w:ascii="宋体" w:hAnsi="宋体" w:cs="宋体"/>
                <w:color w:val="000000" w:themeColor="text1"/>
                <w:kern w:val="0"/>
                <w:sz w:val="24"/>
                <w:szCs w:val="24"/>
                <w:highlight w:val="none"/>
                <w:lang w:bidi="zh-CN"/>
                <w14:textFill>
                  <w14:solidFill>
                    <w14:schemeClr w14:val="tx1"/>
                  </w14:solidFill>
                </w14:textFill>
              </w:rPr>
              <w:t>装订</w:t>
            </w:r>
            <w:r>
              <w:rPr>
                <w:rFonts w:hint="default" w:ascii="宋体" w:hAnsi="宋体" w:cs="宋体"/>
                <w:color w:val="000000" w:themeColor="text1"/>
                <w:kern w:val="0"/>
                <w:sz w:val="24"/>
                <w:szCs w:val="24"/>
                <w:highlight w:val="none"/>
                <w:lang w:bidi="zh-CN"/>
                <w14:textFill>
                  <w14:solidFill>
                    <w14:schemeClr w14:val="tx1"/>
                  </w14:solidFill>
                </w14:textFill>
              </w:rPr>
              <w:t>要求</w:t>
            </w:r>
            <w:r>
              <w:rPr>
                <w:rFonts w:hint="eastAsia" w:ascii="宋体" w:hAnsi="宋体" w:cs="宋体"/>
                <w:color w:val="000000" w:themeColor="text1"/>
                <w:kern w:val="0"/>
                <w:sz w:val="24"/>
                <w:szCs w:val="24"/>
                <w:highlight w:val="none"/>
                <w:lang w:bidi="zh-CN"/>
                <w14:textFill>
                  <w14:solidFill>
                    <w14:schemeClr w14:val="tx1"/>
                  </w14:solidFill>
                </w14:textFill>
              </w:rPr>
              <w:t>：A4纸打印（印刷）、清晰、工整、美观、胶装、不允许有活页和加页。应在</w:t>
            </w:r>
            <w:r>
              <w:rPr>
                <w:rFonts w:hint="default" w:ascii="宋体" w:hAnsi="宋体" w:cs="宋体"/>
                <w:color w:val="000000" w:themeColor="text1"/>
                <w:kern w:val="0"/>
                <w:sz w:val="24"/>
                <w:szCs w:val="24"/>
                <w:highlight w:val="none"/>
                <w:lang w:bidi="zh-CN"/>
                <w14:textFill>
                  <w14:solidFill>
                    <w14:schemeClr w14:val="tx1"/>
                  </w14:solidFill>
                </w14:textFill>
              </w:rPr>
              <w:t>应答</w:t>
            </w:r>
            <w:r>
              <w:rPr>
                <w:rFonts w:hint="eastAsia" w:ascii="宋体" w:hAnsi="宋体" w:cs="宋体"/>
                <w:color w:val="000000" w:themeColor="text1"/>
                <w:kern w:val="0"/>
                <w:sz w:val="24"/>
                <w:szCs w:val="24"/>
                <w:highlight w:val="none"/>
                <w:lang w:bidi="zh-CN"/>
                <w14:textFill>
                  <w14:solidFill>
                    <w14:schemeClr w14:val="tx1"/>
                  </w14:solidFill>
                </w14:textFill>
              </w:rPr>
              <w:t>文件封面的右上角清楚注明“正本”或“副本”，</w:t>
            </w:r>
            <w:r>
              <w:rPr>
                <w:rFonts w:hint="default" w:ascii="宋体" w:hAnsi="宋体" w:cs="宋体"/>
                <w:color w:val="000000" w:themeColor="text1"/>
                <w:kern w:val="0"/>
                <w:sz w:val="24"/>
                <w:szCs w:val="24"/>
                <w:highlight w:val="none"/>
                <w:lang w:bidi="zh-CN"/>
                <w14:textFill>
                  <w14:solidFill>
                    <w14:schemeClr w14:val="tx1"/>
                  </w14:solidFill>
                </w14:textFill>
              </w:rPr>
              <w:t>应答</w:t>
            </w:r>
            <w:r>
              <w:rPr>
                <w:rFonts w:hint="eastAsia" w:ascii="宋体" w:hAnsi="宋体" w:cs="宋体"/>
                <w:color w:val="000000" w:themeColor="text1"/>
                <w:kern w:val="0"/>
                <w:sz w:val="24"/>
                <w:szCs w:val="24"/>
                <w:highlight w:val="none"/>
                <w:lang w:bidi="zh-CN"/>
                <w14:textFill>
                  <w14:solidFill>
                    <w14:schemeClr w14:val="tx1"/>
                  </w14:solidFill>
                </w14:textFill>
              </w:rPr>
              <w:t>文件的正本与副本应分别胶结装订成册，不得采用活页夹等其它装订方式。正本和副本如有不一致之处，以正本为准。</w:t>
            </w:r>
          </w:p>
          <w:p w14:paraId="5CD59360">
            <w:pPr>
              <w:pStyle w:val="23"/>
              <w:widowControl w:val="0"/>
              <w:adjustRightInd w:val="0"/>
              <w:snapToGrid w:val="0"/>
              <w:spacing w:before="158" w:beforeLines="50" w:after="158" w:afterLines="50" w:line="240" w:lineRule="auto"/>
              <w:rPr>
                <w:rFonts w:hint="eastAsia" w:ascii="宋体" w:hAnsi="宋体" w:cs="宋体"/>
                <w:color w:val="000000" w:themeColor="text1"/>
                <w:kern w:val="0"/>
                <w:sz w:val="24"/>
                <w:szCs w:val="24"/>
                <w:highlight w:val="yellow"/>
                <w:lang w:bidi="zh-CN"/>
                <w14:textFill>
                  <w14:solidFill>
                    <w14:schemeClr w14:val="tx1"/>
                  </w14:solidFill>
                </w14:textFill>
              </w:rPr>
            </w:pPr>
            <w:r>
              <w:rPr>
                <w:rFonts w:hint="default" w:ascii="宋体" w:hAnsi="宋体" w:cs="宋体"/>
                <w:color w:val="000000" w:themeColor="text1"/>
                <w:kern w:val="0"/>
                <w:sz w:val="24"/>
                <w:szCs w:val="24"/>
                <w:highlight w:val="none"/>
                <w:lang w:bidi="zh-CN"/>
                <w14:textFill>
                  <w14:solidFill>
                    <w14:schemeClr w14:val="tx1"/>
                  </w14:solidFill>
                </w14:textFill>
              </w:rPr>
              <w:t>密封要求：</w:t>
            </w:r>
            <w:r>
              <w:rPr>
                <w:rFonts w:hint="eastAsia" w:ascii="宋体" w:hAnsi="宋体" w:cs="宋体"/>
                <w:color w:val="000000" w:themeColor="text1"/>
                <w:kern w:val="0"/>
                <w:sz w:val="24"/>
                <w:szCs w:val="24"/>
                <w:highlight w:val="none"/>
                <w:lang w:bidi="zh-CN"/>
                <w14:textFill>
                  <w14:solidFill>
                    <w14:schemeClr w14:val="tx1"/>
                  </w14:solidFill>
                </w14:textFill>
              </w:rPr>
              <w:t>正本一个包装、副本一个包装，然后把正本和所有副本全部密封在同一个包封内，有效电子文档（U盘储存）一份，信封密封；</w:t>
            </w:r>
            <w:r>
              <w:rPr>
                <w:rFonts w:hint="default" w:ascii="宋体" w:hAnsi="宋体" w:cs="宋体"/>
                <w:color w:val="000000" w:themeColor="text1"/>
                <w:kern w:val="0"/>
                <w:sz w:val="24"/>
                <w:szCs w:val="24"/>
                <w:highlight w:val="none"/>
                <w:lang w:bidi="zh-CN"/>
                <w14:textFill>
                  <w14:solidFill>
                    <w14:schemeClr w14:val="tx1"/>
                  </w14:solidFill>
                </w14:textFill>
              </w:rPr>
              <w:t>应答</w:t>
            </w:r>
            <w:r>
              <w:rPr>
                <w:rFonts w:hint="eastAsia" w:ascii="宋体" w:hAnsi="宋体" w:cs="宋体"/>
                <w:color w:val="000000" w:themeColor="text1"/>
                <w:kern w:val="0"/>
                <w:sz w:val="24"/>
                <w:szCs w:val="24"/>
                <w:highlight w:val="none"/>
                <w:lang w:bidi="zh-CN"/>
                <w14:textFill>
                  <w14:solidFill>
                    <w14:schemeClr w14:val="tx1"/>
                  </w14:solidFill>
                </w14:textFill>
              </w:rPr>
              <w:t>文件的密封必须使用密封封条，在</w:t>
            </w:r>
            <w:r>
              <w:rPr>
                <w:rFonts w:hint="default" w:ascii="宋体" w:hAnsi="宋体" w:cs="宋体"/>
                <w:color w:val="000000" w:themeColor="text1"/>
                <w:kern w:val="0"/>
                <w:sz w:val="24"/>
                <w:szCs w:val="24"/>
                <w:highlight w:val="none"/>
                <w:lang w:bidi="zh-CN"/>
                <w14:textFill>
                  <w14:solidFill>
                    <w14:schemeClr w14:val="tx1"/>
                  </w14:solidFill>
                </w14:textFill>
              </w:rPr>
              <w:t>应答</w:t>
            </w:r>
            <w:r>
              <w:rPr>
                <w:rFonts w:hint="eastAsia" w:ascii="宋体" w:hAnsi="宋体" w:cs="宋体"/>
                <w:color w:val="000000" w:themeColor="text1"/>
                <w:kern w:val="0"/>
                <w:sz w:val="24"/>
                <w:szCs w:val="24"/>
                <w:highlight w:val="none"/>
                <w:lang w:bidi="zh-CN"/>
                <w14:textFill>
                  <w14:solidFill>
                    <w14:schemeClr w14:val="tx1"/>
                  </w14:solidFill>
                </w14:textFill>
              </w:rPr>
              <w:t>文件袋（箱）每个开口处密封，并在密封条上盖供应商公章。</w:t>
            </w:r>
          </w:p>
        </w:tc>
      </w:tr>
      <w:tr w14:paraId="7C05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5" w:type="pct"/>
            <w:vMerge w:val="restart"/>
            <w:vAlign w:val="center"/>
          </w:tcPr>
          <w:p w14:paraId="0644FA7E">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评审办法</w:t>
            </w:r>
          </w:p>
        </w:tc>
        <w:tc>
          <w:tcPr>
            <w:tcW w:w="567" w:type="pct"/>
            <w:vAlign w:val="center"/>
          </w:tcPr>
          <w:p w14:paraId="2097AE79">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w:t>
            </w:r>
          </w:p>
        </w:tc>
        <w:tc>
          <w:tcPr>
            <w:tcW w:w="787" w:type="pct"/>
            <w:vAlign w:val="center"/>
          </w:tcPr>
          <w:p w14:paraId="7F5C458C">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排序和推荐成交</w:t>
            </w:r>
          </w:p>
        </w:tc>
        <w:tc>
          <w:tcPr>
            <w:tcW w:w="3399" w:type="pct"/>
            <w:vAlign w:val="center"/>
          </w:tcPr>
          <w:p w14:paraId="14E6606C">
            <w:pPr>
              <w:adjustRightInd w:val="0"/>
              <w:snapToGrid w:val="0"/>
              <w:spacing w:before="120" w:beforeLines="50" w:after="0" w:afterLines="50" w:line="24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szCs w:val="21"/>
                <w:highlight w:val="none"/>
                <w:lang w:eastAsia="zh-CN"/>
              </w:rPr>
              <w:t>本项目推荐</w:t>
            </w:r>
            <w:r>
              <w:rPr>
                <w:rFonts w:hint="default" w:ascii="宋体" w:hAnsi="宋体" w:cs="宋体"/>
                <w:color w:val="000000"/>
                <w:szCs w:val="21"/>
                <w:highlight w:val="none"/>
                <w:lang w:eastAsia="zh-CN"/>
              </w:rPr>
              <w:t>一</w:t>
            </w:r>
            <w:r>
              <w:rPr>
                <w:rFonts w:hint="eastAsia" w:ascii="宋体" w:hAnsi="宋体" w:cs="宋体"/>
                <w:color w:val="000000"/>
                <w:szCs w:val="21"/>
                <w:highlight w:val="none"/>
                <w:lang w:eastAsia="zh-CN"/>
              </w:rPr>
              <w:t>名中标候选人。</w:t>
            </w:r>
          </w:p>
        </w:tc>
      </w:tr>
      <w:tr w14:paraId="3B09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45" w:type="pct"/>
            <w:vMerge w:val="continue"/>
            <w:vAlign w:val="center"/>
          </w:tcPr>
          <w:p w14:paraId="224203A3">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4C6F4CDF">
            <w:pPr>
              <w:adjustRightInd w:val="0"/>
              <w:snapToGrid w:val="0"/>
              <w:spacing w:before="158" w:beforeLines="50" w:after="158" w:afterLines="5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787" w:type="pct"/>
            <w:vAlign w:val="center"/>
          </w:tcPr>
          <w:p w14:paraId="795DD833">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算术错误修正</w:t>
            </w:r>
          </w:p>
        </w:tc>
        <w:tc>
          <w:tcPr>
            <w:tcW w:w="3399" w:type="pct"/>
            <w:vAlign w:val="center"/>
          </w:tcPr>
          <w:p w14:paraId="0954DA0B">
            <w:pPr>
              <w:pStyle w:val="24"/>
              <w:adjustRightInd w:val="0"/>
              <w:snapToGrid w:val="0"/>
              <w:spacing w:before="158" w:beforeLines="50" w:after="158" w:afterLines="50" w:line="24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修改为:</w:t>
            </w:r>
          </w:p>
          <w:p w14:paraId="61D5BE99">
            <w:pPr>
              <w:pStyle w:val="24"/>
              <w:adjustRightInd w:val="0"/>
              <w:snapToGrid w:val="0"/>
              <w:spacing w:before="158" w:beforeLines="50" w:after="158" w:afterLines="50" w:line="24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应答报价有算术错误的，</w:t>
            </w:r>
            <w:r>
              <w:rPr>
                <w:rFonts w:hint="default" w:ascii="宋体" w:hAnsi="宋体" w:cs="宋体"/>
                <w:color w:val="000000" w:themeColor="text1"/>
                <w:szCs w:val="21"/>
                <w:highlight w:val="none"/>
                <w14:textFill>
                  <w14:solidFill>
                    <w14:schemeClr w14:val="tx1"/>
                  </w14:solidFill>
                </w14:textFill>
              </w:rPr>
              <w:t>评审小组</w:t>
            </w:r>
            <w:r>
              <w:rPr>
                <w:rFonts w:hint="eastAsia" w:ascii="宋体" w:hAnsi="宋体" w:cs="宋体"/>
                <w:color w:val="000000" w:themeColor="text1"/>
                <w:szCs w:val="21"/>
                <w:highlight w:val="none"/>
                <w14:textFill>
                  <w14:solidFill>
                    <w14:schemeClr w14:val="tx1"/>
                  </w14:solidFill>
                </w14:textFill>
              </w:rPr>
              <w:t>按以下原则进行修正：</w:t>
            </w:r>
          </w:p>
          <w:p w14:paraId="1D86C56A">
            <w:pPr>
              <w:pStyle w:val="24"/>
              <w:adjustRightInd w:val="0"/>
              <w:snapToGrid w:val="0"/>
              <w:spacing w:before="158" w:beforeLines="50" w:after="158" w:afterLines="50" w:line="24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1.应答文件中的大写金额与小写金额不一致的，以大写金额为准；</w:t>
            </w:r>
          </w:p>
          <w:p w14:paraId="681EC3C0">
            <w:pPr>
              <w:pStyle w:val="24"/>
              <w:adjustRightInd w:val="0"/>
              <w:snapToGrid w:val="0"/>
              <w:spacing w:before="158" w:beforeLines="50" w:after="158" w:afterLines="50" w:line="24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2.总价承包项目的单价与数量的乘积与该项目的合价不吻合时，应以合价为准，改正单价；</w:t>
            </w:r>
          </w:p>
          <w:p w14:paraId="75721FB1">
            <w:pPr>
              <w:pStyle w:val="24"/>
              <w:adjustRightInd w:val="0"/>
              <w:snapToGrid w:val="0"/>
              <w:spacing w:before="158" w:beforeLines="50" w:after="158" w:afterLines="50" w:line="24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3.单价承包项目的单价与数量的乘积与该项目的合价不吻合时，应以单价为准，改正合价。但单价有明显的小数点错误时，应以合价为准，改正单价。</w:t>
            </w:r>
          </w:p>
          <w:p w14:paraId="352CFE64">
            <w:pPr>
              <w:pStyle w:val="24"/>
              <w:adjustRightInd w:val="0"/>
              <w:snapToGrid w:val="0"/>
              <w:spacing w:before="158" w:beforeLines="50" w:after="158" w:afterLines="50" w:line="24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4.若应答报价分项及汇总表中的应答总报价金额与相应的各分项报价的合计金额不吻合时，应以修正算术错误后的各分项报价的合计金额为准，改正应答报价分项及汇总表中相应部分的金额和总报价。</w:t>
            </w:r>
          </w:p>
        </w:tc>
      </w:tr>
      <w:tr w14:paraId="6FF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5" w:type="pct"/>
            <w:vMerge w:val="continue"/>
            <w:vAlign w:val="center"/>
          </w:tcPr>
          <w:p w14:paraId="53794E27">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08922076">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6.7.1</w:t>
            </w:r>
          </w:p>
        </w:tc>
        <w:tc>
          <w:tcPr>
            <w:tcW w:w="787" w:type="pct"/>
            <w:vAlign w:val="center"/>
          </w:tcPr>
          <w:p w14:paraId="2B051685">
            <w:pPr>
              <w:adjustRightInd w:val="0"/>
              <w:snapToGrid w:val="0"/>
              <w:spacing w:before="158" w:beforeLines="50" w:after="158" w:afterLines="50" w:line="240" w:lineRule="auto"/>
              <w:jc w:val="center"/>
              <w:rPr>
                <w:rFonts w:ascii="宋体" w:hAnsi="宋体" w:cs="宋体"/>
                <w:color w:val="000000" w:themeColor="text1"/>
                <w:szCs w:val="21"/>
                <w:highlight w:val="none"/>
                <w:lang w:eastAsia="en-US"/>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分值权重构成</w:t>
            </w:r>
            <w:r>
              <w:rPr>
                <w:rFonts w:hint="eastAsia" w:ascii="宋体" w:hAnsi="宋体" w:cs="宋体"/>
                <w:color w:val="000000" w:themeColor="text1"/>
                <w:szCs w:val="21"/>
                <w:highlight w:val="none"/>
                <w:lang w:eastAsia="en-US"/>
                <w14:textFill>
                  <w14:solidFill>
                    <w14:schemeClr w14:val="tx1"/>
                  </w14:solidFill>
                </w14:textFill>
              </w:rPr>
              <w:t>(总分100分)</w:t>
            </w:r>
          </w:p>
        </w:tc>
        <w:tc>
          <w:tcPr>
            <w:tcW w:w="3399" w:type="pct"/>
            <w:vAlign w:val="center"/>
          </w:tcPr>
          <w:p w14:paraId="1D59226F">
            <w:pPr>
              <w:adjustRightInd w:val="0"/>
              <w:snapToGrid w:val="0"/>
              <w:spacing w:before="158" w:beforeLines="50" w:after="158" w:afterLines="50" w:line="24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技术</w:t>
            </w:r>
            <w:r>
              <w:rPr>
                <w:rFonts w:hint="default" w:ascii="宋体" w:hAnsi="宋体" w:cs="宋体"/>
                <w:color w:val="000000" w:themeColor="text1"/>
                <w:szCs w:val="21"/>
                <w:highlight w:val="none"/>
                <w:lang w:eastAsia="zh-CN"/>
                <w14:textFill>
                  <w14:solidFill>
                    <w14:schemeClr w14:val="tx1"/>
                  </w14:solidFill>
                </w14:textFill>
              </w:rPr>
              <w:t>30</w:t>
            </w:r>
            <w:r>
              <w:rPr>
                <w:rFonts w:hint="eastAsia" w:ascii="宋体" w:hAnsi="宋体" w:cs="宋体"/>
                <w:color w:val="000000" w:themeColor="text1"/>
                <w:szCs w:val="21"/>
                <w:highlight w:val="none"/>
                <w:lang w:val="en-US" w:eastAsia="zh-CN"/>
                <w14:textFill>
                  <w14:solidFill>
                    <w14:schemeClr w14:val="tx1"/>
                  </w14:solidFill>
                </w14:textFill>
              </w:rPr>
              <w:t>%</w:t>
            </w:r>
            <w:r>
              <w:rPr>
                <w:rFonts w:hint="default"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商务10%</w:t>
            </w:r>
            <w:r>
              <w:rPr>
                <w:rFonts w:hint="default"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价格</w:t>
            </w:r>
            <w:r>
              <w:rPr>
                <w:rFonts w:hint="default" w:ascii="宋体" w:hAnsi="宋体" w:cs="宋体"/>
                <w:color w:val="000000" w:themeColor="text1"/>
                <w:szCs w:val="21"/>
                <w:highlight w:val="none"/>
                <w:lang w:eastAsia="zh-CN"/>
                <w14:textFill>
                  <w14:solidFill>
                    <w14:schemeClr w14:val="tx1"/>
                  </w14:solidFill>
                </w14:textFill>
              </w:rPr>
              <w:t>60</w:t>
            </w:r>
            <w:r>
              <w:rPr>
                <w:rFonts w:hint="eastAsia" w:ascii="宋体" w:hAnsi="宋体" w:cs="宋体"/>
                <w:color w:val="000000" w:themeColor="text1"/>
                <w:szCs w:val="21"/>
                <w:highlight w:val="none"/>
                <w:lang w:val="en-US" w:eastAsia="zh-CN"/>
                <w14:textFill>
                  <w14:solidFill>
                    <w14:schemeClr w14:val="tx1"/>
                  </w14:solidFill>
                </w14:textFill>
              </w:rPr>
              <w:t>%</w:t>
            </w:r>
          </w:p>
        </w:tc>
      </w:tr>
      <w:tr w14:paraId="6754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5" w:type="pct"/>
            <w:vMerge w:val="continue"/>
            <w:vAlign w:val="center"/>
          </w:tcPr>
          <w:p w14:paraId="42FAE20E">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1844D451">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6.7.2</w:t>
            </w:r>
          </w:p>
        </w:tc>
        <w:tc>
          <w:tcPr>
            <w:tcW w:w="787" w:type="pct"/>
            <w:vAlign w:val="center"/>
          </w:tcPr>
          <w:p w14:paraId="4B887696">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c>
          <w:tcPr>
            <w:tcW w:w="3399" w:type="pct"/>
            <w:vAlign w:val="center"/>
          </w:tcPr>
          <w:p w14:paraId="240DAF27">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技术、商务、价格评审因素详见应答人须知前附表附件一。</w:t>
            </w:r>
          </w:p>
        </w:tc>
      </w:tr>
      <w:tr w14:paraId="2698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45" w:type="pct"/>
            <w:vMerge w:val="continue"/>
            <w:vAlign w:val="center"/>
          </w:tcPr>
          <w:p w14:paraId="4FD373FE">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4FA4D5C6">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6.8.1</w:t>
            </w:r>
          </w:p>
        </w:tc>
        <w:tc>
          <w:tcPr>
            <w:tcW w:w="787" w:type="pct"/>
            <w:vAlign w:val="center"/>
          </w:tcPr>
          <w:p w14:paraId="330BF021">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成交方式</w:t>
            </w:r>
          </w:p>
        </w:tc>
        <w:tc>
          <w:tcPr>
            <w:tcW w:w="3399" w:type="pct"/>
            <w:vAlign w:val="center"/>
          </w:tcPr>
          <w:p w14:paraId="75F9C81A">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采购人确定成交人</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名。</w:t>
            </w:r>
          </w:p>
          <w:p w14:paraId="0940A6E8">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w:t>
            </w:r>
            <w:r>
              <w:rPr>
                <w:rFonts w:hint="default" w:ascii="宋体" w:hAnsi="宋体" w:cs="宋体"/>
                <w:color w:val="000000" w:themeColor="text1"/>
                <w:szCs w:val="21"/>
                <w:highlight w:val="none"/>
                <w14:textFill>
                  <w14:solidFill>
                    <w14:schemeClr w14:val="tx1"/>
                  </w14:solidFill>
                </w14:textFill>
              </w:rPr>
              <w:t>小组</w:t>
            </w:r>
            <w:r>
              <w:rPr>
                <w:rFonts w:hint="eastAsia" w:ascii="宋体" w:hAnsi="宋体" w:cs="宋体"/>
                <w:color w:val="000000" w:themeColor="text1"/>
                <w:szCs w:val="21"/>
                <w:highlight w:val="none"/>
                <w14:textFill>
                  <w14:solidFill>
                    <w14:schemeClr w14:val="tx1"/>
                  </w14:solidFill>
                </w14:textFill>
              </w:rPr>
              <w:t>不直接确定成交人，由评审</w:t>
            </w:r>
            <w:r>
              <w:rPr>
                <w:rFonts w:hint="default" w:ascii="宋体" w:hAnsi="宋体" w:cs="宋体"/>
                <w:color w:val="000000" w:themeColor="text1"/>
                <w:szCs w:val="21"/>
                <w:highlight w:val="none"/>
                <w14:textFill>
                  <w14:solidFill>
                    <w14:schemeClr w14:val="tx1"/>
                  </w14:solidFill>
                </w14:textFill>
              </w:rPr>
              <w:t>小组</w:t>
            </w:r>
            <w:r>
              <w:rPr>
                <w:rFonts w:hint="eastAsia" w:ascii="宋体" w:hAnsi="宋体" w:cs="宋体"/>
                <w:color w:val="000000" w:themeColor="text1"/>
                <w:szCs w:val="21"/>
                <w:highlight w:val="none"/>
                <w14:textFill>
                  <w14:solidFill>
                    <w14:schemeClr w14:val="tx1"/>
                  </w14:solidFill>
                </w14:textFill>
              </w:rPr>
              <w:t>推荐成交候选人1名｡采购人依据评审</w:t>
            </w:r>
            <w:r>
              <w:rPr>
                <w:rFonts w:hint="default" w:ascii="宋体" w:hAnsi="宋体" w:cs="宋体"/>
                <w:color w:val="000000" w:themeColor="text1"/>
                <w:szCs w:val="21"/>
                <w:highlight w:val="none"/>
                <w14:textFill>
                  <w14:solidFill>
                    <w14:schemeClr w14:val="tx1"/>
                  </w14:solidFill>
                </w14:textFill>
              </w:rPr>
              <w:t>小组</w:t>
            </w:r>
            <w:r>
              <w:rPr>
                <w:rFonts w:hint="eastAsia" w:ascii="宋体" w:hAnsi="宋体" w:cs="宋体"/>
                <w:color w:val="000000" w:themeColor="text1"/>
                <w:szCs w:val="21"/>
                <w:highlight w:val="none"/>
                <w14:textFill>
                  <w14:solidFill>
                    <w14:schemeClr w14:val="tx1"/>
                  </w14:solidFill>
                </w14:textFill>
              </w:rPr>
              <w:t>推荐意见确定成交人。</w:t>
            </w:r>
          </w:p>
        </w:tc>
      </w:tr>
      <w:tr w14:paraId="6815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45" w:type="pct"/>
            <w:vMerge w:val="restart"/>
            <w:vAlign w:val="center"/>
          </w:tcPr>
          <w:p w14:paraId="28213C2A">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合同授予</w:t>
            </w:r>
          </w:p>
        </w:tc>
        <w:tc>
          <w:tcPr>
            <w:tcW w:w="567" w:type="pct"/>
            <w:vAlign w:val="center"/>
          </w:tcPr>
          <w:p w14:paraId="590B4BCA">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7.1.1</w:t>
            </w:r>
          </w:p>
        </w:tc>
        <w:tc>
          <w:tcPr>
            <w:tcW w:w="787" w:type="pct"/>
            <w:vAlign w:val="center"/>
          </w:tcPr>
          <w:p w14:paraId="20750C8C">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新增</w:t>
            </w:r>
          </w:p>
        </w:tc>
        <w:tc>
          <w:tcPr>
            <w:tcW w:w="3399" w:type="pct"/>
            <w:vAlign w:val="center"/>
          </w:tcPr>
          <w:p w14:paraId="285AEBD3">
            <w:pPr>
              <w:adjustRightInd w:val="0"/>
              <w:snapToGrid w:val="0"/>
              <w:spacing w:before="158" w:beforeLines="50" w:after="158" w:afterLines="50" w:line="240" w:lineRule="auto"/>
              <w:jc w:val="left"/>
              <w:rPr>
                <w:rFonts w:hint="default"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w:t>
            </w:r>
            <w:r>
              <w:rPr>
                <w:rFonts w:hint="eastAsia" w:ascii="宋体" w:hAnsi="宋体" w:cs="宋体"/>
                <w:color w:val="000000" w:themeColor="text1"/>
                <w:szCs w:val="21"/>
                <w:highlight w:val="none"/>
                <w:lang w:eastAsia="zh-CN"/>
                <w14:textFill>
                  <w14:solidFill>
                    <w14:schemeClr w14:val="tx1"/>
                  </w14:solidFill>
                </w14:textFill>
              </w:rPr>
              <w:t>招标人</w:t>
            </w:r>
            <w:r>
              <w:rPr>
                <w:rFonts w:hint="default" w:ascii="宋体" w:hAnsi="宋体" w:cs="宋体"/>
                <w:color w:val="000000" w:themeColor="text1"/>
                <w:szCs w:val="21"/>
                <w:highlight w:val="none"/>
                <w:lang w:eastAsia="zh-CN"/>
                <w14:textFill>
                  <w14:solidFill>
                    <w14:schemeClr w14:val="tx1"/>
                  </w14:solidFill>
                </w14:textFill>
              </w:rPr>
              <w:t>网站</w:t>
            </w:r>
            <w:r>
              <w:rPr>
                <w:rFonts w:hint="default" w:ascii="宋体" w:hAnsi="宋体"/>
                <w:color w:val="000000" w:themeColor="text1"/>
                <w:highlight w:val="none"/>
                <w:lang w:eastAsia="zh-CN"/>
                <w14:textFill>
                  <w14:solidFill>
                    <w14:schemeClr w14:val="tx1"/>
                  </w14:solidFill>
                </w14:textFill>
              </w:rPr>
              <w:t>（</w:t>
            </w:r>
            <w:r>
              <w:rPr>
                <w:rFonts w:hint="default" w:ascii="宋体" w:hAnsi="宋体" w:cs="宋体"/>
                <w:highlight w:val="none"/>
              </w:rPr>
              <w:t>https://www.neidri.com.cn/</w:t>
            </w:r>
            <w:r>
              <w:rPr>
                <w:rFonts w:hint="default" w:ascii="宋体" w:hAnsi="宋体"/>
                <w:color w:val="000000" w:themeColor="text1"/>
                <w:highlight w:val="none"/>
                <w:lang w:eastAsia="zh-CN"/>
                <w14:textFill>
                  <w14:solidFill>
                    <w14:schemeClr w14:val="tx1"/>
                  </w14:solidFill>
                </w14:textFill>
              </w:rPr>
              <w:t>）</w:t>
            </w:r>
          </w:p>
          <w:p w14:paraId="65D8267C">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公示期限：3日</w:t>
            </w:r>
          </w:p>
        </w:tc>
      </w:tr>
      <w:tr w14:paraId="012F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45" w:type="pct"/>
            <w:vMerge w:val="continue"/>
            <w:vAlign w:val="center"/>
          </w:tcPr>
          <w:p w14:paraId="1B9E5706">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p>
        </w:tc>
        <w:tc>
          <w:tcPr>
            <w:tcW w:w="567" w:type="pct"/>
            <w:vAlign w:val="center"/>
          </w:tcPr>
          <w:p w14:paraId="0CD7F09F">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7.1.2</w:t>
            </w:r>
          </w:p>
        </w:tc>
        <w:tc>
          <w:tcPr>
            <w:tcW w:w="787" w:type="pct"/>
            <w:vAlign w:val="center"/>
          </w:tcPr>
          <w:p w14:paraId="3AF51CE6">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新增</w:t>
            </w:r>
          </w:p>
        </w:tc>
        <w:tc>
          <w:tcPr>
            <w:tcW w:w="3399" w:type="pct"/>
            <w:vAlign w:val="center"/>
          </w:tcPr>
          <w:p w14:paraId="099FB5C5">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1.应答人或者其他利害关系人对项目的评审结果有异议的，应当在成交候选人公示期间，实名以书面形式向采购人提出。提出异议的利害关系人，应提供关于利害关系的支撑材料。不受理匿名或其他形式的异议。</w:t>
            </w:r>
          </w:p>
          <w:p w14:paraId="50BC8B45">
            <w:pPr>
              <w:adjustRightInd w:val="0"/>
              <w:snapToGrid w:val="0"/>
              <w:spacing w:before="158" w:beforeLines="50" w:after="158" w:afterLines="50"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2.应按附件格式填写《评审结果异议单》，盖章扫描件发送至指定电子邮箱或传真电话，电子邮箱或传真电话详见成交候选人公示。</w:t>
            </w:r>
          </w:p>
        </w:tc>
      </w:tr>
      <w:tr w14:paraId="0073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5" w:type="pct"/>
            <w:vMerge w:val="continue"/>
            <w:vAlign w:val="center"/>
          </w:tcPr>
          <w:p w14:paraId="093F87E6">
            <w:pPr>
              <w:adjustRightInd w:val="0"/>
              <w:snapToGrid w:val="0"/>
              <w:spacing w:before="158" w:beforeLines="50" w:after="158" w:afterLines="50" w:line="240" w:lineRule="auto"/>
              <w:jc w:val="center"/>
              <w:rPr>
                <w:rFonts w:hint="eastAsia" w:ascii="宋体" w:hAnsi="宋体" w:cs="宋体"/>
                <w:color w:val="000000" w:themeColor="text1"/>
                <w:szCs w:val="21"/>
                <w:highlight w:val="none"/>
                <w14:textFill>
                  <w14:solidFill>
                    <w14:schemeClr w14:val="tx1"/>
                  </w14:solidFill>
                </w14:textFill>
              </w:rPr>
            </w:pPr>
          </w:p>
        </w:tc>
        <w:tc>
          <w:tcPr>
            <w:tcW w:w="567" w:type="pct"/>
            <w:vAlign w:val="center"/>
          </w:tcPr>
          <w:p w14:paraId="33C00287">
            <w:pPr>
              <w:adjustRightInd w:val="0"/>
              <w:snapToGrid w:val="0"/>
              <w:spacing w:before="158" w:beforeLines="50" w:after="158" w:afterLines="50" w:line="240" w:lineRule="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szCs w:val="21"/>
                <w:highlight w:val="none"/>
                <w:lang w:val="en-US" w:eastAsia="zh-CN"/>
              </w:rPr>
              <w:t>7.3</w:t>
            </w:r>
          </w:p>
        </w:tc>
        <w:tc>
          <w:tcPr>
            <w:tcW w:w="787" w:type="pct"/>
            <w:vAlign w:val="center"/>
          </w:tcPr>
          <w:p w14:paraId="30A2FAFB">
            <w:pPr>
              <w:adjustRightInd w:val="0"/>
              <w:snapToGrid w:val="0"/>
              <w:spacing w:before="158" w:beforeLines="50" w:after="158" w:afterLines="50"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签订合同</w:t>
            </w:r>
          </w:p>
        </w:tc>
        <w:tc>
          <w:tcPr>
            <w:tcW w:w="3399" w:type="pct"/>
            <w:vAlign w:val="center"/>
          </w:tcPr>
          <w:p w14:paraId="5F855583">
            <w:pPr>
              <w:pStyle w:val="14"/>
              <w:spacing w:line="240" w:lineRule="auto"/>
              <w:ind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补充：</w:t>
            </w:r>
          </w:p>
          <w:p w14:paraId="3ACCF675">
            <w:pPr>
              <w:pStyle w:val="14"/>
              <w:spacing w:line="240" w:lineRule="auto"/>
              <w:ind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当应答人出现下列情形时，取消应答人与采购人签订合同的资格，并且采购人保留追究应答人缔约过失责任的权利。</w:t>
            </w:r>
          </w:p>
          <w:p w14:paraId="44E63DC9">
            <w:pPr>
              <w:pStyle w:val="14"/>
              <w:numPr>
                <w:ilvl w:val="-1"/>
                <w:numId w:val="0"/>
              </w:numPr>
              <w:spacing w:line="240" w:lineRule="auto"/>
              <w:ind w:left="0"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1.应答人在应答有效期内撤销应答文件。</w:t>
            </w:r>
          </w:p>
          <w:p w14:paraId="69170111">
            <w:pPr>
              <w:pStyle w:val="14"/>
              <w:numPr>
                <w:ilvl w:val="0"/>
                <w:numId w:val="0"/>
              </w:numPr>
              <w:spacing w:line="240" w:lineRule="auto"/>
              <w:ind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2.成交人在收到成交通知书后，无正当理由不与采购人订立合同，在签订合同时向采购人提出附加条件，或者不按照采购文件要求提交履约保证金。</w:t>
            </w:r>
          </w:p>
          <w:p w14:paraId="12491818">
            <w:pPr>
              <w:pStyle w:val="14"/>
              <w:spacing w:line="240" w:lineRule="auto"/>
              <w:ind w:firstLine="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3.在提交应答文件截止时间后主动对应答文件提出实质性修改的。</w:t>
            </w:r>
          </w:p>
          <w:p w14:paraId="710A68C8">
            <w:pPr>
              <w:pStyle w:val="14"/>
              <w:spacing w:line="240" w:lineRule="auto"/>
              <w:ind w:left="0" w:leftChars="0" w:firstLine="0" w:firstLineChars="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4.应答人串通应答或有其他违法行为的。</w:t>
            </w:r>
          </w:p>
          <w:p w14:paraId="543E3D86">
            <w:pPr>
              <w:pStyle w:val="14"/>
              <w:spacing w:line="240" w:lineRule="auto"/>
              <w:ind w:left="0" w:leftChars="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highlight w:val="none"/>
                <w:lang w:val="en-US" w:eastAsia="zh-CN"/>
              </w:rPr>
              <w:t>5.国家法律法规及采购文件规定的其他情形。</w:t>
            </w:r>
          </w:p>
        </w:tc>
      </w:tr>
      <w:tr w14:paraId="3A0F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5" w:type="pct"/>
            <w:vAlign w:val="center"/>
          </w:tcPr>
          <w:p w14:paraId="7D112A99">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纪律和监督</w:t>
            </w:r>
          </w:p>
        </w:tc>
        <w:tc>
          <w:tcPr>
            <w:tcW w:w="567" w:type="pct"/>
            <w:vAlign w:val="center"/>
          </w:tcPr>
          <w:p w14:paraId="72CDE6B3">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.2</w:t>
            </w:r>
          </w:p>
        </w:tc>
        <w:tc>
          <w:tcPr>
            <w:tcW w:w="787" w:type="pct"/>
            <w:vAlign w:val="center"/>
          </w:tcPr>
          <w:p w14:paraId="4B3C7BBA">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对应答人的纪律要求</w:t>
            </w:r>
          </w:p>
        </w:tc>
        <w:tc>
          <w:tcPr>
            <w:tcW w:w="3399" w:type="pct"/>
            <w:vAlign w:val="center"/>
          </w:tcPr>
          <w:p w14:paraId="0901058D">
            <w:pPr>
              <w:pStyle w:val="13"/>
              <w:widowControl w:val="0"/>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补充：</w:t>
            </w:r>
          </w:p>
          <w:p w14:paraId="307A2F8C">
            <w:pPr>
              <w:pStyle w:val="13"/>
              <w:widowControl w:val="0"/>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在招标采购过程中，</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存在下列情形之一的，视为</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相互</w:t>
            </w:r>
            <w:r>
              <w:rPr>
                <w:rFonts w:hint="eastAsia" w:ascii="宋体" w:hAnsi="宋体" w:eastAsia="宋体" w:cs="宋体"/>
                <w:sz w:val="24"/>
                <w:szCs w:val="24"/>
                <w:highlight w:val="none"/>
                <w:lang w:eastAsia="zh-CN"/>
              </w:rPr>
              <w:t>串通应答</w:t>
            </w:r>
            <w:r>
              <w:rPr>
                <w:rFonts w:hint="eastAsia" w:ascii="宋体" w:hAnsi="宋体" w:eastAsia="宋体" w:cs="宋体"/>
                <w:sz w:val="24"/>
                <w:szCs w:val="24"/>
                <w:highlight w:val="none"/>
              </w:rPr>
              <w:t>：</w:t>
            </w:r>
          </w:p>
          <w:p w14:paraId="70857F7F">
            <w:pPr>
              <w:pStyle w:val="13"/>
              <w:widowControl w:val="0"/>
              <w:numPr>
                <w:ilvl w:val="0"/>
                <w:numId w:val="1"/>
              </w:numPr>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由同一单位或者个人编制，不同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的电子</w:t>
            </w:r>
            <w:r>
              <w:rPr>
                <w:rFonts w:hint="eastAsia" w:ascii="宋体" w:hAnsi="宋体" w:eastAsia="宋体" w:cs="宋体"/>
                <w:sz w:val="24"/>
                <w:szCs w:val="24"/>
                <w:highlight w:val="none"/>
                <w:lang w:eastAsia="zh-CN"/>
              </w:rPr>
              <w:t>应答</w:t>
            </w:r>
            <w:r>
              <w:rPr>
                <w:rFonts w:hint="eastAsia" w:ascii="宋体" w:hAnsi="宋体" w:eastAsia="宋体" w:cs="宋体"/>
                <w:sz w:val="24"/>
                <w:szCs w:val="24"/>
                <w:highlight w:val="none"/>
              </w:rPr>
              <w:t>文件通过同一台电脑制作、上传。同一标包中，不同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编制电子</w:t>
            </w:r>
            <w:r>
              <w:rPr>
                <w:rFonts w:hint="eastAsia" w:ascii="宋体" w:hAnsi="宋体" w:eastAsia="宋体" w:cs="宋体"/>
                <w:sz w:val="24"/>
                <w:szCs w:val="24"/>
                <w:highlight w:val="none"/>
                <w:lang w:eastAsia="zh-CN"/>
              </w:rPr>
              <w:t>应答</w:t>
            </w:r>
            <w:r>
              <w:rPr>
                <w:rFonts w:hint="eastAsia" w:ascii="宋体" w:hAnsi="宋体" w:eastAsia="宋体" w:cs="宋体"/>
                <w:sz w:val="24"/>
                <w:szCs w:val="24"/>
                <w:highlight w:val="none"/>
              </w:rPr>
              <w:t>文件（包括价格、技术、商务和资质业绩文件中任一类别）时使用的计算机硬件网卡MAC 地址（如有）、CPU 序列号和硬盘序列号均相同。</w:t>
            </w:r>
          </w:p>
          <w:p w14:paraId="6CB67410">
            <w:pPr>
              <w:pStyle w:val="13"/>
              <w:widowControl w:val="0"/>
              <w:numPr>
                <w:ilvl w:val="0"/>
                <w:numId w:val="1"/>
              </w:numPr>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委托同一单位或者个人办理</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事宜（如</w:t>
            </w:r>
            <w:r>
              <w:rPr>
                <w:rFonts w:hint="eastAsia" w:ascii="宋体" w:hAnsi="宋体" w:eastAsia="宋体" w:cs="宋体"/>
                <w:sz w:val="24"/>
                <w:szCs w:val="24"/>
                <w:highlight w:val="none"/>
                <w:lang w:eastAsia="zh-CN"/>
              </w:rPr>
              <w:t>应答</w:t>
            </w:r>
            <w:r>
              <w:rPr>
                <w:rFonts w:hint="eastAsia" w:ascii="宋体" w:hAnsi="宋体" w:eastAsia="宋体" w:cs="宋体"/>
                <w:sz w:val="24"/>
                <w:szCs w:val="24"/>
                <w:highlight w:val="none"/>
              </w:rPr>
              <w:t>过程中在获取</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、提出澄清、提出异议、澄清回复、踏勘现场等阶段的联系信息一致，如联系人姓名、电话、邮箱、地址一致）。</w:t>
            </w:r>
          </w:p>
          <w:p w14:paraId="07A10848">
            <w:pPr>
              <w:pStyle w:val="13"/>
              <w:widowControl w:val="0"/>
              <w:numPr>
                <w:ilvl w:val="0"/>
                <w:numId w:val="1"/>
              </w:numPr>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载明的项目管理成员为同一人，除非</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能够证明其不存在</w:t>
            </w:r>
            <w:r>
              <w:rPr>
                <w:rFonts w:hint="eastAsia" w:ascii="宋体" w:hAnsi="宋体" w:eastAsia="宋体" w:cs="宋体"/>
                <w:sz w:val="24"/>
                <w:szCs w:val="24"/>
                <w:highlight w:val="none"/>
                <w:lang w:eastAsia="zh-CN"/>
              </w:rPr>
              <w:t>串通应答</w:t>
            </w:r>
            <w:r>
              <w:rPr>
                <w:rFonts w:hint="eastAsia" w:ascii="宋体" w:hAnsi="宋体" w:eastAsia="宋体" w:cs="宋体"/>
                <w:sz w:val="24"/>
                <w:szCs w:val="24"/>
                <w:highlight w:val="none"/>
              </w:rPr>
              <w:t>行为。</w:t>
            </w:r>
          </w:p>
          <w:p w14:paraId="436D7C58">
            <w:pPr>
              <w:pStyle w:val="13"/>
              <w:widowControl w:val="0"/>
              <w:numPr>
                <w:ilvl w:val="0"/>
                <w:numId w:val="0"/>
              </w:numPr>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eastAsia="zh-CN"/>
              </w:rPr>
              <w:t>（</w:t>
            </w:r>
            <w:r>
              <w:rPr>
                <w:rFonts w:hint="default" w:eastAsia="宋体" w:cs="宋体"/>
                <w:sz w:val="24"/>
                <w:szCs w:val="24"/>
                <w:highlight w:val="none"/>
              </w:rPr>
              <w:t>4</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异常一致（如</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错误表述、错误计算或者笔误雷同，</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整段内容一致（引用除外），</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排版格式一致等）</w:t>
            </w:r>
            <w:r>
              <w:rPr>
                <w:rFonts w:hint="eastAsia" w:ascii="宋体" w:hAnsi="宋体" w:eastAsia="宋体" w:cs="宋体"/>
                <w:sz w:val="24"/>
                <w:szCs w:val="24"/>
                <w:highlight w:val="none"/>
                <w:lang w:eastAsia="zh-CN"/>
              </w:rPr>
              <w:t>。</w:t>
            </w:r>
          </w:p>
          <w:p w14:paraId="146C14A0">
            <w:pPr>
              <w:pStyle w:val="13"/>
              <w:widowControl w:val="0"/>
              <w:numPr>
                <w:ilvl w:val="0"/>
                <w:numId w:val="0"/>
              </w:numPr>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default" w:eastAsia="宋体" w:cs="宋体"/>
                <w:sz w:val="24"/>
                <w:szCs w:val="24"/>
                <w:highlight w:val="none"/>
              </w:rPr>
              <w:t>5</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上所加盖公司印章、签字相同。</w:t>
            </w:r>
          </w:p>
          <w:p w14:paraId="091B2E14">
            <w:pPr>
              <w:pStyle w:val="13"/>
              <w:widowControl w:val="0"/>
              <w:numPr>
                <w:ilvl w:val="0"/>
                <w:numId w:val="0"/>
              </w:numPr>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eastAsia="zh-CN"/>
              </w:rPr>
              <w:t>（</w:t>
            </w:r>
            <w:r>
              <w:rPr>
                <w:rFonts w:hint="default" w:eastAsia="宋体" w:cs="宋体"/>
                <w:sz w:val="24"/>
                <w:szCs w:val="24"/>
                <w:highlight w:val="none"/>
              </w:rPr>
              <w:t>6</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应答文件</w:t>
            </w:r>
            <w:r>
              <w:rPr>
                <w:rFonts w:hint="eastAsia" w:ascii="宋体" w:hAnsi="宋体" w:eastAsia="宋体" w:cs="宋体"/>
                <w:sz w:val="24"/>
                <w:szCs w:val="24"/>
                <w:highlight w:val="none"/>
              </w:rPr>
              <w:t>相互混装。</w:t>
            </w:r>
          </w:p>
          <w:p w14:paraId="3F21515C">
            <w:pPr>
              <w:pStyle w:val="13"/>
              <w:widowControl w:val="0"/>
              <w:numPr>
                <w:ilvl w:val="0"/>
                <w:numId w:val="0"/>
              </w:numPr>
              <w:autoSpaceDE w:val="0"/>
              <w:autoSpaceDN w:val="0"/>
              <w:adjustRightInd w:val="0"/>
              <w:snapToGrid w:val="0"/>
              <w:spacing w:before="158" w:beforeLines="50" w:beforeAutospacing="0" w:after="158" w:afterLines="50" w:afterAutospacing="0"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eastAsia="zh-CN"/>
              </w:rPr>
              <w:t>（</w:t>
            </w:r>
            <w:r>
              <w:rPr>
                <w:rFonts w:hint="default" w:eastAsia="宋体" w:cs="宋体"/>
                <w:sz w:val="24"/>
                <w:szCs w:val="24"/>
                <w:highlight w:val="none"/>
              </w:rPr>
              <w:t>7</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应答</w:t>
            </w:r>
            <w:r>
              <w:rPr>
                <w:rFonts w:hint="eastAsia" w:ascii="宋体" w:hAnsi="宋体" w:eastAsia="宋体" w:cs="宋体"/>
                <w:sz w:val="24"/>
                <w:szCs w:val="24"/>
                <w:highlight w:val="none"/>
              </w:rPr>
              <w:t>报价呈规律性差异（如同一标包中不同</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应答</w:t>
            </w:r>
            <w:r>
              <w:rPr>
                <w:rFonts w:hint="eastAsia" w:ascii="宋体" w:hAnsi="宋体" w:eastAsia="宋体" w:cs="宋体"/>
                <w:sz w:val="24"/>
                <w:szCs w:val="24"/>
                <w:highlight w:val="none"/>
              </w:rPr>
              <w:t>报价呈等差数列或有规律性的百分比等）。</w:t>
            </w:r>
          </w:p>
          <w:p w14:paraId="5B5FA11D">
            <w:pPr>
              <w:pStyle w:val="13"/>
              <w:widowControl w:val="0"/>
              <w:numPr>
                <w:ilvl w:val="0"/>
                <w:numId w:val="0"/>
              </w:numPr>
              <w:autoSpaceDE w:val="0"/>
              <w:autoSpaceDN w:val="0"/>
              <w:adjustRightInd w:val="0"/>
              <w:snapToGrid w:val="0"/>
              <w:spacing w:before="158" w:beforeLines="50" w:beforeAutospacing="0" w:after="158" w:afterLines="50" w:afterAutospacing="0" w:line="24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存在</w:t>
            </w:r>
            <w:r>
              <w:rPr>
                <w:rFonts w:hint="eastAsia" w:ascii="宋体" w:hAnsi="宋体" w:eastAsia="宋体" w:cs="宋体"/>
                <w:sz w:val="24"/>
                <w:szCs w:val="24"/>
                <w:highlight w:val="none"/>
                <w:lang w:eastAsia="zh-CN"/>
              </w:rPr>
              <w:t>串通应答</w:t>
            </w:r>
            <w:r>
              <w:rPr>
                <w:rFonts w:hint="eastAsia" w:ascii="宋体" w:hAnsi="宋体" w:eastAsia="宋体" w:cs="宋体"/>
                <w:sz w:val="24"/>
                <w:szCs w:val="24"/>
                <w:highlight w:val="none"/>
              </w:rPr>
              <w:t>或视为</w:t>
            </w:r>
            <w:r>
              <w:rPr>
                <w:rFonts w:hint="eastAsia" w:ascii="宋体" w:hAnsi="宋体" w:eastAsia="宋体" w:cs="宋体"/>
                <w:sz w:val="24"/>
                <w:szCs w:val="24"/>
                <w:highlight w:val="none"/>
                <w:lang w:eastAsia="zh-CN"/>
              </w:rPr>
              <w:t>串通应答</w:t>
            </w:r>
            <w:r>
              <w:rPr>
                <w:rFonts w:hint="eastAsia" w:ascii="宋体" w:hAnsi="宋体" w:eastAsia="宋体" w:cs="宋体"/>
                <w:sz w:val="24"/>
                <w:szCs w:val="24"/>
                <w:highlight w:val="none"/>
              </w:rPr>
              <w:t>行为的，该</w:t>
            </w:r>
            <w:r>
              <w:rPr>
                <w:rFonts w:hint="eastAsia" w:ascii="宋体" w:hAnsi="宋体" w:eastAsia="宋体" w:cs="宋体"/>
                <w:sz w:val="24"/>
                <w:szCs w:val="24"/>
                <w:highlight w:val="none"/>
                <w:lang w:eastAsia="zh-CN"/>
              </w:rPr>
              <w:t>应答人</w:t>
            </w:r>
            <w:r>
              <w:rPr>
                <w:rFonts w:hint="eastAsia" w:ascii="宋体" w:hAnsi="宋体" w:eastAsia="宋体" w:cs="宋体"/>
                <w:sz w:val="24"/>
                <w:szCs w:val="24"/>
                <w:highlight w:val="none"/>
              </w:rPr>
              <w:t>参与本次</w:t>
            </w:r>
            <w:r>
              <w:rPr>
                <w:rFonts w:hint="eastAsia" w:ascii="宋体" w:hAnsi="宋体" w:eastAsia="宋体" w:cs="宋体"/>
                <w:sz w:val="24"/>
                <w:szCs w:val="24"/>
                <w:highlight w:val="none"/>
                <w:lang w:eastAsia="zh-CN"/>
              </w:rPr>
              <w:t>采购活动</w:t>
            </w:r>
            <w:r>
              <w:rPr>
                <w:rFonts w:hint="eastAsia" w:ascii="宋体" w:hAnsi="宋体" w:eastAsia="宋体" w:cs="宋体"/>
                <w:sz w:val="24"/>
                <w:szCs w:val="24"/>
                <w:highlight w:val="none"/>
              </w:rPr>
              <w:t>的所有标包将被否决</w:t>
            </w:r>
            <w:r>
              <w:rPr>
                <w:rFonts w:hint="eastAsia" w:ascii="宋体" w:hAnsi="宋体" w:eastAsia="宋体" w:cs="宋体"/>
                <w:sz w:val="24"/>
                <w:szCs w:val="24"/>
                <w:highlight w:val="none"/>
                <w:lang w:eastAsia="zh-CN"/>
              </w:rPr>
              <w:t>。</w:t>
            </w:r>
          </w:p>
        </w:tc>
      </w:tr>
      <w:tr w14:paraId="382E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 w:type="pct"/>
            <w:vAlign w:val="center"/>
          </w:tcPr>
          <w:p w14:paraId="536F2218">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567" w:type="pct"/>
            <w:vAlign w:val="center"/>
          </w:tcPr>
          <w:p w14:paraId="72CF98DB">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787" w:type="pct"/>
            <w:vAlign w:val="center"/>
          </w:tcPr>
          <w:p w14:paraId="06AD951C">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w:t>
            </w:r>
          </w:p>
        </w:tc>
        <w:tc>
          <w:tcPr>
            <w:tcW w:w="3399" w:type="pct"/>
            <w:vAlign w:val="center"/>
          </w:tcPr>
          <w:p w14:paraId="5F595011">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1.企业名称变更</w:t>
            </w:r>
          </w:p>
          <w:p w14:paraId="748FECED">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凡资格业绩等证明文件中的公司名称与应答人名称不一致的，应提供应答人自述的企业名称变更原因说明、市场监督管理部门出具的“名称变更证明”等相关证明材料。</w:t>
            </w:r>
          </w:p>
          <w:p w14:paraId="599CDDD1">
            <w:pPr>
              <w:pStyle w:val="4"/>
              <w:spacing w:before="158" w:beforeLines="50" w:after="158" w:afterLines="50" w:line="240" w:lineRule="auto"/>
              <w:ind w:firstLine="0"/>
              <w:jc w:val="left"/>
              <w:rPr>
                <w:rFonts w:ascii="宋体" w:hAnsi="宋体" w:cs="宋体"/>
                <w:szCs w:val="21"/>
                <w:highlight w:val="none"/>
              </w:rPr>
            </w:pPr>
            <w:r>
              <w:rPr>
                <w:rFonts w:hint="eastAsia" w:ascii="宋体" w:hAnsi="宋体" w:cs="宋体"/>
                <w:color w:val="000000" w:themeColor="text1"/>
                <w:kern w:val="0"/>
                <w:szCs w:val="21"/>
                <w:highlight w:val="none"/>
                <w14:textFill>
                  <w14:solidFill>
                    <w14:schemeClr w14:val="tx1"/>
                  </w14:solidFill>
                </w14:textFill>
              </w:rPr>
              <w:t>2.</w:t>
            </w:r>
            <w:r>
              <w:rPr>
                <w:rFonts w:hint="default" w:ascii="宋体" w:hAnsi="宋体" w:cs="宋体"/>
                <w:color w:val="000000" w:themeColor="text1"/>
                <w:kern w:val="0"/>
                <w:szCs w:val="21"/>
                <w:highlight w:val="none"/>
                <w14:textFill>
                  <w14:solidFill>
                    <w14:schemeClr w14:val="tx1"/>
                  </w14:solidFill>
                </w14:textFill>
              </w:rPr>
              <w:t>应答</w:t>
            </w:r>
            <w:r>
              <w:rPr>
                <w:rFonts w:hint="eastAsia" w:ascii="宋体" w:hAnsi="宋体" w:cs="宋体"/>
                <w:color w:val="000000" w:themeColor="text1"/>
                <w:kern w:val="0"/>
                <w:szCs w:val="21"/>
                <w:highlight w:val="none"/>
                <w14:textFill>
                  <w14:solidFill>
                    <w14:schemeClr w14:val="tx1"/>
                  </w14:solidFill>
                </w14:textFill>
              </w:rPr>
              <w:t>截止时间止，提交应答文件的应答人为</w:t>
            </w:r>
            <w:r>
              <w:rPr>
                <w:rFonts w:hint="default"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家时</w:t>
            </w:r>
            <w:r>
              <w:rPr>
                <w:rFonts w:hint="eastAsia" w:ascii="宋体" w:hAnsi="宋体" w:cs="宋体"/>
                <w:color w:val="000000" w:themeColor="text1"/>
                <w:szCs w:val="21"/>
                <w:highlight w:val="none"/>
                <w14:textFill>
                  <w14:solidFill>
                    <w14:schemeClr w14:val="tx1"/>
                  </w14:solidFill>
                </w14:textFill>
              </w:rPr>
              <w:t>，技术条件满足且报价合理的继续评审。</w:t>
            </w:r>
          </w:p>
          <w:p w14:paraId="00243699">
            <w:pPr>
              <w:pStyle w:val="4"/>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进入详评的应答人为</w:t>
            </w:r>
            <w:r>
              <w:rPr>
                <w:rFonts w:hint="default" w:ascii="宋体" w:hAnsi="宋体" w:cs="宋体"/>
                <w:szCs w:val="21"/>
                <w:highlight w:val="none"/>
              </w:rPr>
              <w:t>2</w:t>
            </w:r>
            <w:r>
              <w:rPr>
                <w:rFonts w:hint="eastAsia" w:ascii="宋体" w:hAnsi="宋体" w:cs="宋体"/>
                <w:szCs w:val="21"/>
                <w:highlight w:val="none"/>
              </w:rPr>
              <w:t>家时</w:t>
            </w:r>
            <w:r>
              <w:rPr>
                <w:rFonts w:hint="default" w:ascii="宋体" w:hAnsi="宋体" w:cs="宋体"/>
                <w:szCs w:val="21"/>
                <w:highlight w:val="none"/>
              </w:rPr>
              <w:t>，</w:t>
            </w:r>
            <w:r>
              <w:rPr>
                <w:rFonts w:hint="eastAsia" w:ascii="宋体" w:hAnsi="宋体" w:cs="宋体"/>
                <w:color w:val="000000" w:themeColor="text1"/>
                <w:szCs w:val="21"/>
                <w:highlight w:val="none"/>
                <w14:textFill>
                  <w14:solidFill>
                    <w14:schemeClr w14:val="tx1"/>
                  </w14:solidFill>
                </w14:textFill>
              </w:rPr>
              <w:t>技术条件满足且报价合理的继续评审。</w:t>
            </w:r>
          </w:p>
          <w:p w14:paraId="67C83F9D">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3.增值税税率</w:t>
            </w:r>
          </w:p>
          <w:p w14:paraId="388A459B">
            <w:pPr>
              <w:pStyle w:val="4"/>
              <w:spacing w:before="158" w:beforeLines="50" w:after="158" w:afterLines="50" w:line="240" w:lineRule="auto"/>
              <w:ind w:firstLine="0"/>
              <w:rPr>
                <w:rFonts w:ascii="宋体" w:hAnsi="宋体" w:cs="宋体"/>
                <w:szCs w:val="21"/>
                <w:highlight w:val="none"/>
              </w:rPr>
            </w:pPr>
            <w:r>
              <w:rPr>
                <w:rFonts w:hint="eastAsia" w:ascii="宋体" w:hAnsi="宋体" w:cs="宋体"/>
                <w:color w:val="000000" w:themeColor="text1"/>
                <w:kern w:val="0"/>
                <w:szCs w:val="21"/>
                <w:highlight w:val="none"/>
                <w14:textFill>
                  <w14:solidFill>
                    <w14:schemeClr w14:val="tx1"/>
                  </w14:solidFill>
                </w14:textFill>
              </w:rPr>
              <w:t>应答人应按照国家规定税率填报增值税税率或征收率，应答人成交后，在合同履行期间应提供增值税专用发票原件，并按此进行合同结算，否则由此给项目单位造成的损失应由成交人承担。若国家出台新的税收政策，则按新政策执行。小规模纳税人在应答文件中须提供为小规模纳税人的佐证材料。</w:t>
            </w:r>
          </w:p>
          <w:p w14:paraId="206F9A74">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4.若本项目涉及农民工工资支付事宜，应严格执行《保障农民工工资支付条例》（国务院724号令）等国家有关法规，及时足额支付农民工工资。</w:t>
            </w:r>
          </w:p>
          <w:p w14:paraId="477DA478">
            <w:pPr>
              <w:pStyle w:val="4"/>
              <w:adjustRightInd w:val="0"/>
              <w:snapToGrid w:val="0"/>
              <w:spacing w:before="158" w:beforeLines="50" w:after="158" w:afterLines="50" w:line="240" w:lineRule="auto"/>
              <w:ind w:firstLine="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5.踏勘现场</w:t>
            </w:r>
          </w:p>
          <w:p w14:paraId="4C7F91A5">
            <w:pPr>
              <w:pStyle w:val="4"/>
              <w:spacing w:before="158" w:beforeLines="50" w:after="158" w:afterLines="50" w:line="240" w:lineRule="auto"/>
              <w:ind w:firstLine="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不组织</w:t>
            </w:r>
          </w:p>
          <w:p w14:paraId="7C8F9671">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组织</w:t>
            </w:r>
          </w:p>
          <w:p w14:paraId="1965AFD1">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踏勘时间：</w:t>
            </w:r>
            <w:r>
              <w:rPr>
                <w:rFonts w:hint="eastAsia" w:ascii="宋体" w:hAnsi="宋体" w:cs="宋体"/>
                <w:color w:val="000000" w:themeColor="text1"/>
                <w:kern w:val="0"/>
                <w:szCs w:val="21"/>
                <w:highlight w:val="none"/>
                <w:lang w:val="en-US" w:eastAsia="zh-CN"/>
                <w14:textFill>
                  <w14:solidFill>
                    <w14:schemeClr w14:val="tx1"/>
                  </w14:solidFill>
                </w14:textFill>
              </w:rPr>
              <w:t>/</w:t>
            </w:r>
          </w:p>
          <w:p w14:paraId="27A00B11">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踏勘集中地点：</w:t>
            </w:r>
            <w:r>
              <w:rPr>
                <w:rFonts w:hint="eastAsia" w:ascii="宋体" w:hAnsi="宋体" w:cs="宋体"/>
                <w:color w:val="000000" w:themeColor="text1"/>
                <w:kern w:val="0"/>
                <w:szCs w:val="21"/>
                <w:highlight w:val="none"/>
                <w:lang w:val="en-US" w:eastAsia="zh-CN"/>
                <w14:textFill>
                  <w14:solidFill>
                    <w14:schemeClr w14:val="tx1"/>
                  </w14:solidFill>
                </w14:textFill>
              </w:rPr>
              <w:t>/</w:t>
            </w:r>
          </w:p>
          <w:p w14:paraId="2464A968">
            <w:pPr>
              <w:pStyle w:val="4"/>
              <w:spacing w:before="158" w:beforeLines="50" w:after="158" w:afterLines="50" w:line="240" w:lineRule="auto"/>
              <w:ind w:firstLine="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联系人：</w:t>
            </w:r>
            <w:r>
              <w:rPr>
                <w:rFonts w:hint="eastAsia" w:ascii="宋体" w:hAnsi="宋体" w:cs="宋体"/>
                <w:color w:val="000000" w:themeColor="text1"/>
                <w:kern w:val="0"/>
                <w:szCs w:val="21"/>
                <w:highlight w:val="none"/>
                <w:lang w:val="en-US" w:eastAsia="zh-CN"/>
                <w14:textFill>
                  <w14:solidFill>
                    <w14:schemeClr w14:val="tx1"/>
                  </w14:solidFill>
                </w14:textFill>
              </w:rPr>
              <w:t>/</w:t>
            </w:r>
          </w:p>
          <w:p w14:paraId="4D3AFDEA">
            <w:pPr>
              <w:pStyle w:val="4"/>
              <w:spacing w:before="158" w:beforeLines="50" w:after="158" w:afterLines="50" w:line="240" w:lineRule="auto"/>
              <w:ind w:firstLine="240" w:firstLineChars="1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电话：</w:t>
            </w:r>
            <w:r>
              <w:rPr>
                <w:rFonts w:hint="eastAsia" w:ascii="宋体" w:hAnsi="宋体" w:cs="宋体"/>
                <w:color w:val="000000" w:themeColor="text1"/>
                <w:kern w:val="0"/>
                <w:szCs w:val="21"/>
                <w:highlight w:val="none"/>
                <w:lang w:val="en-US" w:eastAsia="zh-CN"/>
                <w14:textFill>
                  <w14:solidFill>
                    <w14:schemeClr w14:val="tx1"/>
                  </w14:solidFill>
                </w14:textFill>
              </w:rPr>
              <w:t>/</w:t>
            </w:r>
          </w:p>
          <w:p w14:paraId="3D7F5BB3">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default" w:ascii="宋体" w:hAnsi="宋体" w:cs="宋体"/>
                <w:szCs w:val="21"/>
                <w:highlight w:val="none"/>
              </w:rPr>
              <w:t>6</w:t>
            </w:r>
            <w:r>
              <w:rPr>
                <w:rFonts w:hint="eastAsia" w:ascii="宋体" w:hAnsi="宋体" w:cs="宋体"/>
                <w:szCs w:val="21"/>
                <w:highlight w:val="none"/>
              </w:rPr>
              <w:t>.</w:t>
            </w:r>
            <w:r>
              <w:rPr>
                <w:rFonts w:hint="eastAsia" w:ascii="宋体" w:hAnsi="宋体" w:cs="宋体"/>
                <w:color w:val="000000" w:themeColor="text1"/>
                <w:szCs w:val="21"/>
                <w:highlight w:val="none"/>
                <w14:textFill>
                  <w14:solidFill>
                    <w14:schemeClr w14:val="tx1"/>
                  </w14:solidFill>
                </w14:textFill>
              </w:rPr>
              <w:t>电子</w:t>
            </w:r>
            <w:r>
              <w:rPr>
                <w:rFonts w:hint="default" w:ascii="宋体" w:hAnsi="宋体" w:cs="宋体"/>
                <w:color w:val="000000" w:themeColor="text1"/>
                <w:szCs w:val="21"/>
                <w:highlight w:val="none"/>
                <w14:textFill>
                  <w14:solidFill>
                    <w14:schemeClr w14:val="tx1"/>
                  </w14:solidFill>
                </w14:textFill>
              </w:rPr>
              <w:t>版</w:t>
            </w:r>
            <w:r>
              <w:rPr>
                <w:rFonts w:hint="eastAsia" w:ascii="宋体" w:hAnsi="宋体" w:cs="宋体"/>
                <w:color w:val="000000" w:themeColor="text1"/>
                <w:szCs w:val="21"/>
                <w:highlight w:val="none"/>
                <w14:textFill>
                  <w14:solidFill>
                    <w14:schemeClr w14:val="tx1"/>
                  </w14:solidFill>
                </w14:textFill>
              </w:rPr>
              <w:t>应答文件可参考如下制作方式：</w:t>
            </w:r>
          </w:p>
          <w:p w14:paraId="254BA788">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1）应答人按照</w:t>
            </w:r>
            <w:r>
              <w:rPr>
                <w:rFonts w:hint="default" w:ascii="宋体" w:hAnsi="宋体" w:cs="宋体"/>
                <w:color w:val="000000" w:themeColor="text1"/>
                <w:szCs w:val="21"/>
                <w:highlight w:val="none"/>
                <w14:textFill>
                  <w14:solidFill>
                    <w14:schemeClr w14:val="tx1"/>
                  </w14:solidFill>
                </w14:textFill>
              </w:rPr>
              <w:t>第六章应答</w:t>
            </w:r>
            <w:r>
              <w:rPr>
                <w:rFonts w:hint="eastAsia" w:ascii="宋体" w:hAnsi="宋体" w:cs="宋体"/>
                <w:color w:val="000000" w:themeColor="text1"/>
                <w:szCs w:val="21"/>
                <w:highlight w:val="none"/>
                <w14:textFill>
                  <w14:solidFill>
                    <w14:schemeClr w14:val="tx1"/>
                  </w14:solidFill>
                </w14:textFill>
              </w:rPr>
              <w:t>文件格式规定的目录仅提交必需的文件。</w:t>
            </w:r>
          </w:p>
          <w:p w14:paraId="42814F3E">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2）无需证明材料的应答部分，尽可能使用文字编辑，避免扫描图片。</w:t>
            </w:r>
          </w:p>
          <w:p w14:paraId="749B3B6E">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3）优先使用黑白图片，分辨率为1024*768，更大尺寸图纸按比例适量增加。</w:t>
            </w:r>
          </w:p>
          <w:p w14:paraId="11D82ED2">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4）图片压缩按照分辨率为150ppi/96ppi进行普通画质压缩，辅助使用OFFICE批量压缩工具。</w:t>
            </w:r>
          </w:p>
          <w:p w14:paraId="4D6688DD">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5）应答人按照压缩建议生成的文件以满足屏幕清晰阅读即可，8-10张A4纸张大小图片应控制大小至1M以内。</w:t>
            </w:r>
          </w:p>
          <w:p w14:paraId="02DB5BC6">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6）对于图片类文件，可使用压缩软件进行压缩后插入WORD中上传系统，WORD中插入页面方向应为纵向。</w:t>
            </w:r>
          </w:p>
          <w:p w14:paraId="08B575BD">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7）可编辑文件应保存为docx或xlsx格式。</w:t>
            </w:r>
          </w:p>
          <w:p w14:paraId="7A3192DB">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.评审结果异议</w:t>
            </w:r>
          </w:p>
          <w:p w14:paraId="6D022294">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（1）应答人或者其他利害关系人对评审结果有异议的，应当在成交候选人公示期间提出。采购人将在收到异议之日起 3 日内作出答复；作出答复前，将暂停招标投标活动。</w:t>
            </w:r>
          </w:p>
          <w:p w14:paraId="052FCB64">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异议的提出应提供项目名称、项目编号、具体事项及依据，提出异议的主体应采用实名，须法定代表人或委托代理人签字、加盖公章并提供联系人及联系方式，以匿名形式、非书面形式提出的异议不予受理。</w:t>
            </w:r>
          </w:p>
          <w:p w14:paraId="5A5E5417">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（3）采购人不保证应答报价最低的应答人成交，对未成交的原因，采购人不予解释｡</w:t>
            </w:r>
          </w:p>
          <w:p w14:paraId="00BD94E7">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（4）采购人不保证按应答报价计算后得分最高的应答人成交，对未成交的原因，采购人不予解释。</w:t>
            </w:r>
          </w:p>
          <w:p w14:paraId="0B1522E6">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.当采购公告中的专用资格与</w:t>
            </w:r>
            <w:r>
              <w:rPr>
                <w:rFonts w:hint="default" w:ascii="宋体" w:hAnsi="宋体" w:cs="宋体"/>
                <w:color w:val="000000" w:themeColor="text1"/>
                <w:szCs w:val="21"/>
                <w:highlight w:val="none"/>
                <w14:textFill>
                  <w14:solidFill>
                    <w14:schemeClr w14:val="tx1"/>
                  </w14:solidFill>
                </w14:textFill>
              </w:rPr>
              <w:t>采购标准和要求</w:t>
            </w:r>
            <w:r>
              <w:rPr>
                <w:rFonts w:hint="eastAsia" w:ascii="宋体" w:hAnsi="宋体" w:cs="宋体"/>
                <w:color w:val="000000" w:themeColor="text1"/>
                <w:szCs w:val="21"/>
                <w:highlight w:val="none"/>
                <w14:textFill>
                  <w14:solidFill>
                    <w14:schemeClr w14:val="tx1"/>
                  </w14:solidFill>
                </w14:textFill>
              </w:rPr>
              <w:t>中要求的资格不一致时，应以采购公告为准，但</w:t>
            </w:r>
            <w:r>
              <w:rPr>
                <w:rFonts w:hint="default" w:ascii="宋体" w:hAnsi="宋体" w:cs="宋体"/>
                <w:color w:val="000000" w:themeColor="text1"/>
                <w:szCs w:val="21"/>
                <w:highlight w:val="none"/>
                <w14:textFill>
                  <w14:solidFill>
                    <w14:schemeClr w14:val="tx1"/>
                  </w14:solidFill>
                </w14:textFill>
              </w:rPr>
              <w:t>采购标准和要求</w:t>
            </w:r>
            <w:r>
              <w:rPr>
                <w:rFonts w:hint="eastAsia" w:ascii="宋体" w:hAnsi="宋体" w:cs="宋体"/>
                <w:color w:val="000000" w:themeColor="text1"/>
                <w:szCs w:val="21"/>
                <w:highlight w:val="none"/>
                <w14:textFill>
                  <w14:solidFill>
                    <w14:schemeClr w14:val="tx1"/>
                  </w14:solidFill>
                </w14:textFill>
              </w:rPr>
              <w:t>中的其它要求应答人应当响应。若设定了国家各级政府、行业协会等权威部门明令废止的资质条件，则该资质条件视为无效设定。</w:t>
            </w:r>
          </w:p>
          <w:p w14:paraId="19CB515A">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.成交候选人履约能力审查</w:t>
            </w:r>
          </w:p>
          <w:p w14:paraId="1C9854A6">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（1）成交候选人的经营、财务状况发生较大变化或存在违法行为，采购人认为可能影响其履约能力的，将在发出成交通知书前提请原评审</w:t>
            </w:r>
            <w:r>
              <w:rPr>
                <w:rFonts w:hint="default" w:ascii="宋体" w:hAnsi="宋体" w:cs="宋体"/>
                <w:color w:val="000000" w:themeColor="text1"/>
                <w:szCs w:val="21"/>
                <w:highlight w:val="none"/>
                <w14:textFill>
                  <w14:solidFill>
                    <w14:schemeClr w14:val="tx1"/>
                  </w14:solidFill>
                </w14:textFill>
              </w:rPr>
              <w:t>小组</w:t>
            </w:r>
            <w:r>
              <w:rPr>
                <w:rFonts w:hint="eastAsia" w:ascii="宋体" w:hAnsi="宋体" w:cs="宋体"/>
                <w:color w:val="000000" w:themeColor="text1"/>
                <w:szCs w:val="21"/>
                <w:highlight w:val="none"/>
                <w14:textFill>
                  <w14:solidFill>
                    <w14:schemeClr w14:val="tx1"/>
                  </w14:solidFill>
                </w14:textFill>
              </w:rPr>
              <w:t>按照采购文件规定的标准和方法进行审查确认。</w:t>
            </w:r>
          </w:p>
          <w:p w14:paraId="4FCBFD63">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（2）采购人认为有必要复核成交人资质业绩原件的，有权要求成交人在成交公示后提供资质、业绩证明等原件至采购代理机构，</w:t>
            </w:r>
            <w:r>
              <w:rPr>
                <w:rFonts w:hint="default" w:ascii="宋体" w:hAnsi="宋体" w:cs="宋体"/>
                <w:color w:val="000000" w:themeColor="text1"/>
                <w:szCs w:val="21"/>
                <w:highlight w:val="none"/>
                <w14:textFill>
                  <w14:solidFill>
                    <w14:schemeClr w14:val="tx1"/>
                  </w14:solidFill>
                </w14:textFill>
              </w:rPr>
              <w:t>评审小组</w:t>
            </w:r>
            <w:r>
              <w:rPr>
                <w:rFonts w:hint="eastAsia" w:ascii="宋体" w:hAnsi="宋体" w:cs="宋体"/>
                <w:color w:val="000000" w:themeColor="text1"/>
                <w:szCs w:val="21"/>
                <w:highlight w:val="none"/>
                <w14:textFill>
                  <w14:solidFill>
                    <w14:schemeClr w14:val="tx1"/>
                  </w14:solidFill>
                </w14:textFill>
              </w:rPr>
              <w:t>对原件和应答文件提供的证明文件的一致性进行复核。复核通过后发出成交通知书。具体的核实安排将书面通知成交人。</w:t>
            </w:r>
          </w:p>
          <w:p w14:paraId="678DDA3E">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（3）成交人资质、业绩证明文件原件与应答文件中证明文件不一致的，或复核过程中提供虚假资料的，或不参与资质、业绩证明文件原件复核的，</w:t>
            </w:r>
            <w:r>
              <w:rPr>
                <w:rFonts w:hint="default" w:ascii="宋体" w:hAnsi="宋体" w:cs="宋体"/>
                <w:color w:val="000000" w:themeColor="text1"/>
                <w:szCs w:val="21"/>
                <w:highlight w:val="none"/>
                <w14:textFill>
                  <w14:solidFill>
                    <w14:schemeClr w14:val="tx1"/>
                  </w14:solidFill>
                </w14:textFill>
              </w:rPr>
              <w:t>纳入招标人供方评价黑名单</w:t>
            </w:r>
            <w:r>
              <w:rPr>
                <w:rFonts w:hint="eastAsia" w:ascii="宋体" w:hAnsi="宋体" w:cs="宋体"/>
                <w:color w:val="000000" w:themeColor="text1"/>
                <w:szCs w:val="21"/>
                <w:highlight w:val="none"/>
                <w14:textFill>
                  <w14:solidFill>
                    <w14:schemeClr w14:val="tx1"/>
                  </w14:solidFill>
                </w14:textFill>
              </w:rPr>
              <w:t>。</w:t>
            </w:r>
          </w:p>
          <w:p w14:paraId="5E11E631">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default"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.应答人对应答文件进行的澄清回复，如有内容模糊不清或未明确是否确认澄清发出函的内容或逾期回复的，视为应答人拒绝澄清。</w:t>
            </w:r>
          </w:p>
          <w:p w14:paraId="70DB7495">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default"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.对应答人的纪律要求</w:t>
            </w:r>
          </w:p>
          <w:p w14:paraId="356E56FD">
            <w:pPr>
              <w:pStyle w:val="4"/>
              <w:snapToGrid w:val="0"/>
              <w:spacing w:before="158" w:beforeLines="50" w:after="158" w:afterLines="50" w:line="240" w:lineRule="auto"/>
              <w:ind w:firstLine="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成交人有商业贿赂或欺诈行为，其成交资格将被取消。如果应答人在任何时候，被认定为有商业贿赂或欺诈行为，将被宣布在一个不定期的时间内被取消其成交资格或拒绝其应答。商业贿赂指在采购、评审和合同执行等过程中，应答人为影响采购人、评审</w:t>
            </w:r>
            <w:r>
              <w:rPr>
                <w:rFonts w:hint="default" w:ascii="宋体" w:hAnsi="宋体" w:cs="宋体"/>
                <w:color w:val="000000" w:themeColor="text1"/>
                <w:szCs w:val="21"/>
                <w:highlight w:val="none"/>
                <w14:textFill>
                  <w14:solidFill>
                    <w14:schemeClr w14:val="tx1"/>
                  </w14:solidFill>
                </w14:textFill>
              </w:rPr>
              <w:t>小组</w:t>
            </w:r>
            <w:r>
              <w:rPr>
                <w:rFonts w:hint="eastAsia" w:ascii="宋体" w:hAnsi="宋体" w:cs="宋体"/>
                <w:color w:val="000000" w:themeColor="text1"/>
                <w:szCs w:val="21"/>
                <w:highlight w:val="none"/>
                <w14:textFill>
                  <w14:solidFill>
                    <w14:schemeClr w14:val="tx1"/>
                  </w14:solidFill>
                </w14:textFill>
              </w:rPr>
              <w:t>成员的行为而提供、给予任何有价物或好处的行为或采购人、评审</w:t>
            </w:r>
            <w:r>
              <w:rPr>
                <w:rFonts w:hint="default" w:ascii="宋体" w:hAnsi="宋体" w:cs="宋体"/>
                <w:color w:val="000000" w:themeColor="text1"/>
                <w:szCs w:val="21"/>
                <w:highlight w:val="none"/>
                <w14:textFill>
                  <w14:solidFill>
                    <w14:schemeClr w14:val="tx1"/>
                  </w14:solidFill>
                </w14:textFill>
              </w:rPr>
              <w:t>小组</w:t>
            </w:r>
            <w:r>
              <w:rPr>
                <w:rFonts w:hint="eastAsia" w:ascii="宋体" w:hAnsi="宋体" w:cs="宋体"/>
                <w:color w:val="000000" w:themeColor="text1"/>
                <w:szCs w:val="21"/>
                <w:highlight w:val="none"/>
                <w14:textFill>
                  <w14:solidFill>
                    <w14:schemeClr w14:val="tx1"/>
                  </w14:solidFill>
                </w14:textFill>
              </w:rPr>
              <w:t>成员为谋取不正当利益向应答人索取或接受应答人任何有价物或好处的行为。欺诈行为指为了影响采购、评审和合同执行等过程而隐瞒或虚构事实、虚假应答，从而给采购人造成损害的行为，其中包括应答人之间的串通行为，旨在使应答价格成为人为的、无竞争性的价格，并使采购人无法从自由公开的竞争中受益。</w:t>
            </w:r>
          </w:p>
        </w:tc>
      </w:tr>
      <w:tr w14:paraId="0641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45" w:type="pct"/>
            <w:vAlign w:val="center"/>
          </w:tcPr>
          <w:p w14:paraId="672410FB">
            <w:pPr>
              <w:adjustRightInd w:val="0"/>
              <w:snapToGrid w:val="0"/>
              <w:spacing w:before="158" w:beforeLines="50" w:after="158" w:afterLines="5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567" w:type="pct"/>
            <w:vAlign w:val="center"/>
          </w:tcPr>
          <w:p w14:paraId="2B1935AC">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框架采购适用：</w:t>
            </w:r>
          </w:p>
          <w:p w14:paraId="39826681">
            <w:pPr>
              <w:adjustRightInd w:val="0"/>
              <w:snapToGrid w:val="0"/>
              <w:spacing w:before="158" w:beforeLines="50" w:after="158" w:afterLines="50"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787" w:type="pct"/>
            <w:vAlign w:val="center"/>
          </w:tcPr>
          <w:p w14:paraId="0368345A">
            <w:pPr>
              <w:adjustRightInd w:val="0"/>
              <w:snapToGrid w:val="0"/>
              <w:spacing w:before="158" w:beforeLines="50" w:after="158" w:afterLines="50" w:line="24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需要补充的其他内容（重要提示）</w:t>
            </w:r>
          </w:p>
        </w:tc>
        <w:tc>
          <w:tcPr>
            <w:tcW w:w="3399" w:type="pct"/>
            <w:vAlign w:val="center"/>
          </w:tcPr>
          <w:p w14:paraId="0D8CF113">
            <w:pPr>
              <w:pStyle w:val="22"/>
              <w:adjustRightInd w:val="0"/>
              <w:snapToGrid w:val="0"/>
              <w:spacing w:before="158" w:beforeLines="50" w:after="158" w:afterLines="50" w:line="240" w:lineRule="auto"/>
              <w:jc w:val="both"/>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不适用本条款</w:t>
            </w:r>
          </w:p>
          <w:p w14:paraId="788E72CA">
            <w:pPr>
              <w:pStyle w:val="22"/>
              <w:adjustRightInd w:val="0"/>
              <w:spacing w:before="158" w:beforeLines="50" w:after="158" w:afterLines="50" w:line="240" w:lineRule="auto"/>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□按如下要求应用本条款</w:t>
            </w:r>
          </w:p>
          <w:p w14:paraId="7BE81A9D">
            <w:pPr>
              <w:pStyle w:val="24"/>
              <w:adjustRightInd w:val="0"/>
              <w:snapToGrid w:val="0"/>
              <w:spacing w:before="158" w:beforeLines="50" w:after="158" w:afterLines="50" w:line="240" w:lineRule="auto"/>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成交人收到成交通知书后，与采购人签订框架协议。</w:t>
            </w:r>
          </w:p>
          <w:p w14:paraId="21C1E51B">
            <w:pPr>
              <w:pStyle w:val="24"/>
              <w:adjustRightInd w:val="0"/>
              <w:snapToGrid w:val="0"/>
              <w:spacing w:before="158" w:beforeLines="50" w:after="158" w:afterLines="50" w:line="240" w:lineRule="auto"/>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由于本项目为框架协议采购，在框架协议有效期内，将根据实际情况确定实际采购金额，采购人不承诺采购金额。</w:t>
            </w:r>
          </w:p>
          <w:p w14:paraId="601C1183">
            <w:pPr>
              <w:pStyle w:val="24"/>
              <w:adjustRightInd w:val="0"/>
              <w:snapToGrid w:val="0"/>
              <w:spacing w:before="158" w:beforeLines="50" w:after="158" w:afterLines="50" w:line="240" w:lineRule="auto"/>
              <w:ind w:firstLine="0" w:firstLineChars="0"/>
              <w:jc w:val="left"/>
              <w:rPr>
                <w:rFonts w:ascii="宋体" w:hAnsi="宋体" w:cs="宋体"/>
                <w:color w:val="000000" w:themeColor="text1"/>
                <w:sz w:val="24"/>
                <w:szCs w:val="24"/>
                <w:highlight w:val="none"/>
                <w14:textFill>
                  <w14:solidFill>
                    <w14:schemeClr w14:val="tx1"/>
                  </w14:solidFill>
                </w14:textFill>
              </w:rPr>
            </w:pPr>
          </w:p>
        </w:tc>
      </w:tr>
    </w:tbl>
    <w:p w14:paraId="72082800">
      <w:pPr>
        <w:bidi w:val="0"/>
        <w:rPr>
          <w:rFonts w:hint="eastAsia"/>
        </w:rPr>
      </w:pPr>
    </w:p>
    <w:p w14:paraId="4AA2F6C7">
      <w:pPr>
        <w:rPr>
          <w:rFonts w:hint="eastAsia" w:ascii="黑体" w:hAnsi="黑体" w:eastAsia="黑体" w:cs="黑体"/>
          <w:b w:val="0"/>
          <w:sz w:val="24"/>
          <w:szCs w:val="21"/>
          <w:highlight w:val="none"/>
        </w:rPr>
      </w:pPr>
      <w:r>
        <w:rPr>
          <w:rFonts w:hint="eastAsia" w:ascii="黑体" w:hAnsi="黑体" w:eastAsia="黑体" w:cs="黑体"/>
          <w:b w:val="0"/>
          <w:sz w:val="24"/>
          <w:szCs w:val="21"/>
          <w:highlight w:val="none"/>
        </w:rPr>
        <w:br w:type="page"/>
      </w:r>
    </w:p>
    <w:p w14:paraId="642A20B4">
      <w:pPr>
        <w:pStyle w:val="2"/>
        <w:keepNext w:val="0"/>
        <w:keepLines w:val="0"/>
        <w:numPr>
          <w:ilvl w:val="1"/>
          <w:numId w:val="0"/>
        </w:numPr>
        <w:tabs>
          <w:tab w:val="left" w:pos="802"/>
        </w:tabs>
        <w:autoSpaceDE w:val="0"/>
        <w:autoSpaceDN w:val="0"/>
        <w:spacing w:line="400" w:lineRule="exact"/>
        <w:rPr>
          <w:rFonts w:ascii="黑体" w:hAnsi="黑体" w:eastAsia="黑体" w:cs="黑体"/>
          <w:b w:val="0"/>
          <w:sz w:val="24"/>
          <w:szCs w:val="21"/>
          <w:highlight w:val="none"/>
        </w:rPr>
      </w:pPr>
      <w:r>
        <w:rPr>
          <w:rFonts w:hint="eastAsia" w:ascii="黑体" w:hAnsi="黑体" w:eastAsia="黑体" w:cs="黑体"/>
          <w:b w:val="0"/>
          <w:sz w:val="24"/>
          <w:szCs w:val="21"/>
          <w:highlight w:val="none"/>
        </w:rPr>
        <w:t>应答人须知前附表附件一</w:t>
      </w:r>
    </w:p>
    <w:p w14:paraId="6E58E135">
      <w:pPr>
        <w:widowControl/>
        <w:ind w:firstLine="241" w:firstLineChars="100"/>
        <w:jc w:val="left"/>
        <w:rPr>
          <w:rFonts w:ascii="宋体" w:hAnsi="宋体" w:cs="宋体"/>
          <w:b/>
          <w:bCs w:val="0"/>
          <w:color w:val="auto"/>
          <w:szCs w:val="21"/>
          <w:highlight w:val="none"/>
        </w:rPr>
      </w:pPr>
      <w:r>
        <w:rPr>
          <w:rFonts w:hint="eastAsia" w:ascii="宋体" w:hAnsi="宋体" w:cs="宋体"/>
          <w:b/>
          <w:bCs w:val="0"/>
          <w:color w:val="auto"/>
          <w:szCs w:val="21"/>
          <w:highlight w:val="none"/>
        </w:rPr>
        <w:t>一、商务评分标准</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9"/>
        <w:gridCol w:w="7844"/>
      </w:tblGrid>
      <w:tr w14:paraId="2173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5" w:type="pct"/>
            <w:tcBorders>
              <w:top w:val="single" w:color="000000" w:sz="4" w:space="0"/>
              <w:left w:val="single" w:color="000000" w:sz="4" w:space="0"/>
              <w:bottom w:val="dotted" w:color="000000" w:sz="4" w:space="0"/>
              <w:right w:val="dotted" w:color="000000" w:sz="4" w:space="0"/>
            </w:tcBorders>
            <w:noWrap w:val="0"/>
            <w:vAlign w:val="center"/>
          </w:tcPr>
          <w:p w14:paraId="0C999B8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评定项目</w:t>
            </w:r>
          </w:p>
        </w:tc>
        <w:tc>
          <w:tcPr>
            <w:tcW w:w="4224" w:type="pct"/>
            <w:tcBorders>
              <w:top w:val="single" w:color="000000" w:sz="4" w:space="0"/>
              <w:left w:val="dotted" w:color="000000" w:sz="4" w:space="0"/>
              <w:bottom w:val="dotted" w:color="000000" w:sz="4" w:space="0"/>
              <w:right w:val="single" w:color="000000" w:sz="4" w:space="0"/>
            </w:tcBorders>
            <w:noWrap w:val="0"/>
            <w:vAlign w:val="center"/>
          </w:tcPr>
          <w:p w14:paraId="3AAD9C7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商务评分细则</w:t>
            </w:r>
          </w:p>
        </w:tc>
      </w:tr>
      <w:tr w14:paraId="588C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75" w:type="pct"/>
            <w:tcBorders>
              <w:top w:val="dotted" w:color="000000" w:sz="4" w:space="0"/>
              <w:left w:val="single" w:color="000000" w:sz="4" w:space="0"/>
              <w:bottom w:val="dotted" w:color="000000" w:sz="4" w:space="0"/>
              <w:right w:val="dotted" w:color="000000" w:sz="4" w:space="0"/>
            </w:tcBorders>
            <w:noWrap w:val="0"/>
            <w:vAlign w:val="center"/>
          </w:tcPr>
          <w:p w14:paraId="41533A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default" w:ascii="宋体" w:hAnsi="宋体" w:eastAsia="宋体" w:cs="宋体"/>
                <w:i w:val="0"/>
                <w:iCs w:val="0"/>
                <w:color w:val="000000"/>
                <w:kern w:val="0"/>
                <w:sz w:val="24"/>
                <w:szCs w:val="24"/>
                <w:highlight w:val="none"/>
                <w:u w:val="none"/>
                <w:lang w:eastAsia="zh-CN" w:bidi="ar"/>
              </w:rPr>
              <w:t>1</w:t>
            </w:r>
            <w:r>
              <w:rPr>
                <w:rFonts w:hint="eastAsia" w:ascii="宋体" w:hAnsi="宋体" w:eastAsia="宋体" w:cs="宋体"/>
                <w:i w:val="0"/>
                <w:iCs w:val="0"/>
                <w:color w:val="000000"/>
                <w:kern w:val="0"/>
                <w:sz w:val="24"/>
                <w:szCs w:val="24"/>
                <w:highlight w:val="none"/>
                <w:u w:val="none"/>
                <w:lang w:val="en-US" w:eastAsia="zh-CN" w:bidi="ar"/>
              </w:rPr>
              <w:t>.失信行为（10分）</w:t>
            </w:r>
          </w:p>
        </w:tc>
        <w:tc>
          <w:tcPr>
            <w:tcW w:w="4224" w:type="pct"/>
            <w:tcBorders>
              <w:top w:val="dotted" w:color="000000" w:sz="4" w:space="0"/>
              <w:left w:val="dotted" w:color="000000" w:sz="4" w:space="0"/>
              <w:bottom w:val="dotted" w:color="000000" w:sz="4" w:space="0"/>
              <w:right w:val="single" w:color="000000" w:sz="4" w:space="0"/>
            </w:tcBorders>
            <w:noWrap w:val="0"/>
            <w:vAlign w:val="center"/>
          </w:tcPr>
          <w:p w14:paraId="6F17AB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优：无失信行为。10分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良：存在属质量和诚信问题以外的行政处罚。5分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一般：存在属质量或诚信问题的行政处罚，但未被纳入失信黑名单。0分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注：以“信用中国”网站（www.creditchina.gov.cn）、国家企业信用信息公示系统（www.gsxt.gov.cn）查询结果为准。</w:t>
            </w:r>
          </w:p>
        </w:tc>
      </w:tr>
      <w:tr w14:paraId="463C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75" w:type="pct"/>
            <w:tcBorders>
              <w:top w:val="dotted" w:color="000000" w:sz="4" w:space="0"/>
              <w:left w:val="single" w:color="000000" w:sz="4" w:space="0"/>
              <w:bottom w:val="dotted" w:color="000000" w:sz="4" w:space="0"/>
              <w:right w:val="dotted" w:color="000000" w:sz="4" w:space="0"/>
            </w:tcBorders>
            <w:noWrap w:val="0"/>
            <w:vAlign w:val="center"/>
          </w:tcPr>
          <w:p w14:paraId="53729B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default" w:ascii="宋体" w:hAnsi="宋体" w:eastAsia="宋体" w:cs="宋体"/>
                <w:i w:val="0"/>
                <w:iCs w:val="0"/>
                <w:color w:val="000000"/>
                <w:kern w:val="0"/>
                <w:sz w:val="24"/>
                <w:szCs w:val="24"/>
                <w:highlight w:val="none"/>
                <w:u w:val="none"/>
                <w:lang w:eastAsia="zh-CN" w:bidi="ar"/>
              </w:rPr>
              <w:t>2</w:t>
            </w:r>
            <w:r>
              <w:rPr>
                <w:rFonts w:hint="eastAsia" w:ascii="宋体" w:hAnsi="宋体" w:eastAsia="宋体" w:cs="宋体"/>
                <w:i w:val="0"/>
                <w:iCs w:val="0"/>
                <w:color w:val="000000"/>
                <w:kern w:val="0"/>
                <w:sz w:val="24"/>
                <w:szCs w:val="24"/>
                <w:highlight w:val="none"/>
                <w:u w:val="none"/>
                <w:lang w:val="en-US" w:eastAsia="zh-CN" w:bidi="ar"/>
              </w:rPr>
              <w:t>.商务投标文件的响应情况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（15分）</w:t>
            </w:r>
          </w:p>
        </w:tc>
        <w:tc>
          <w:tcPr>
            <w:tcW w:w="4224" w:type="pct"/>
            <w:tcBorders>
              <w:top w:val="dotted" w:color="000000" w:sz="4" w:space="0"/>
              <w:left w:val="dotted" w:color="000000" w:sz="4" w:space="0"/>
              <w:bottom w:val="dotted" w:color="000000" w:sz="4" w:space="0"/>
              <w:right w:val="single" w:color="000000" w:sz="4" w:space="0"/>
            </w:tcBorders>
            <w:noWrap w:val="0"/>
            <w:vAlign w:val="center"/>
          </w:tcPr>
          <w:p w14:paraId="2D0514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优：按照招标文件要求提交了完整的投标文件，无遗漏。13-15分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良：按照招标文件要求提交了基本完整的投标文件，有1项遗漏。11-12.5分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一般：满足下列条件之一：（1）按照招标文件要求提交了基本完整的投标文件，有2项及以上遗漏。（2）提出负偏差。9-10.5分</w:t>
            </w:r>
          </w:p>
        </w:tc>
      </w:tr>
      <w:tr w14:paraId="2C28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75" w:type="pct"/>
            <w:tcBorders>
              <w:top w:val="dotted" w:color="000000" w:sz="4" w:space="0"/>
              <w:left w:val="single" w:color="000000" w:sz="4" w:space="0"/>
              <w:bottom w:val="dotted" w:color="000000" w:sz="4" w:space="0"/>
              <w:right w:val="dotted" w:color="000000" w:sz="4" w:space="0"/>
            </w:tcBorders>
            <w:noWrap w:val="0"/>
            <w:vAlign w:val="center"/>
          </w:tcPr>
          <w:p w14:paraId="10A499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default" w:ascii="宋体" w:hAnsi="宋体" w:eastAsia="宋体" w:cs="宋体"/>
                <w:i w:val="0"/>
                <w:iCs w:val="0"/>
                <w:color w:val="000000"/>
                <w:kern w:val="0"/>
                <w:sz w:val="24"/>
                <w:szCs w:val="24"/>
                <w:highlight w:val="none"/>
                <w:u w:val="none"/>
                <w:lang w:eastAsia="zh-CN" w:bidi="ar"/>
              </w:rPr>
              <w:t>3</w:t>
            </w:r>
            <w:r>
              <w:rPr>
                <w:rFonts w:hint="eastAsia" w:ascii="宋体" w:hAnsi="宋体" w:eastAsia="宋体" w:cs="宋体"/>
                <w:i w:val="0"/>
                <w:iCs w:val="0"/>
                <w:color w:val="000000"/>
                <w:kern w:val="0"/>
                <w:sz w:val="24"/>
                <w:szCs w:val="24"/>
                <w:highlight w:val="none"/>
                <w:u w:val="none"/>
                <w:lang w:val="en-US" w:eastAsia="zh-CN" w:bidi="ar"/>
              </w:rPr>
              <w:t>.财务报表完整性（</w:t>
            </w:r>
            <w:r>
              <w:rPr>
                <w:rFonts w:hint="default" w:ascii="宋体" w:hAnsi="宋体" w:eastAsia="宋体" w:cs="宋体"/>
                <w:i w:val="0"/>
                <w:iCs w:val="0"/>
                <w:color w:val="000000"/>
                <w:kern w:val="0"/>
                <w:sz w:val="24"/>
                <w:szCs w:val="24"/>
                <w:highlight w:val="none"/>
                <w:u w:val="none"/>
                <w:lang w:eastAsia="zh-CN" w:bidi="ar"/>
              </w:rPr>
              <w:t>10</w:t>
            </w:r>
            <w:r>
              <w:rPr>
                <w:rFonts w:hint="eastAsia" w:ascii="宋体" w:hAnsi="宋体" w:eastAsia="宋体" w:cs="宋体"/>
                <w:i w:val="0"/>
                <w:iCs w:val="0"/>
                <w:color w:val="000000"/>
                <w:kern w:val="0"/>
                <w:sz w:val="24"/>
                <w:szCs w:val="24"/>
                <w:highlight w:val="none"/>
                <w:u w:val="none"/>
                <w:lang w:val="en-US" w:eastAsia="zh-CN" w:bidi="ar"/>
              </w:rPr>
              <w:t>分）</w:t>
            </w:r>
          </w:p>
        </w:tc>
        <w:tc>
          <w:tcPr>
            <w:tcW w:w="4224" w:type="pct"/>
            <w:tcBorders>
              <w:top w:val="dotted" w:color="000000" w:sz="4" w:space="0"/>
              <w:left w:val="dotted" w:color="000000" w:sz="4" w:space="0"/>
              <w:bottom w:val="dotted" w:color="000000" w:sz="4" w:space="0"/>
              <w:right w:val="single" w:color="000000" w:sz="4" w:space="0"/>
            </w:tcBorders>
            <w:noWrap w:val="0"/>
            <w:vAlign w:val="center"/>
          </w:tcPr>
          <w:p w14:paraId="2C9DB9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优：提供了最近一个会计年的经审计的财务报表，且数字清晰可辨认。</w:t>
            </w:r>
            <w:r>
              <w:rPr>
                <w:rFonts w:hint="default" w:ascii="宋体" w:hAnsi="宋体" w:eastAsia="宋体" w:cs="宋体"/>
                <w:i w:val="0"/>
                <w:iCs w:val="0"/>
                <w:color w:val="000000"/>
                <w:kern w:val="0"/>
                <w:sz w:val="24"/>
                <w:szCs w:val="24"/>
                <w:highlight w:val="none"/>
                <w:u w:val="none"/>
                <w:lang w:eastAsia="zh-CN" w:bidi="ar"/>
              </w:rPr>
              <w:t>9</w:t>
            </w: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i w:val="0"/>
                <w:iCs w:val="0"/>
                <w:color w:val="000000"/>
                <w:kern w:val="0"/>
                <w:sz w:val="24"/>
                <w:szCs w:val="24"/>
                <w:highlight w:val="none"/>
                <w:u w:val="none"/>
                <w:lang w:eastAsia="zh-CN" w:bidi="ar"/>
              </w:rPr>
              <w:t>10</w:t>
            </w:r>
            <w:r>
              <w:rPr>
                <w:rFonts w:hint="eastAsia" w:ascii="宋体" w:hAnsi="宋体" w:eastAsia="宋体" w:cs="宋体"/>
                <w:i w:val="0"/>
                <w:iCs w:val="0"/>
                <w:color w:val="000000"/>
                <w:kern w:val="0"/>
                <w:sz w:val="24"/>
                <w:szCs w:val="24"/>
                <w:highlight w:val="none"/>
                <w:u w:val="none"/>
                <w:lang w:val="en-US" w:eastAsia="zh-CN" w:bidi="ar"/>
              </w:rPr>
              <w:t>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一般：未提供或提供的最近一个会计年的经审计的财务报表不完整，或报表数字不清晰，或财务报表未经审计。</w:t>
            </w:r>
            <w:r>
              <w:rPr>
                <w:rFonts w:hint="default" w:ascii="宋体" w:hAnsi="宋体" w:eastAsia="宋体" w:cs="宋体"/>
                <w:i w:val="0"/>
                <w:iCs w:val="0"/>
                <w:color w:val="000000"/>
                <w:kern w:val="0"/>
                <w:sz w:val="24"/>
                <w:szCs w:val="24"/>
                <w:highlight w:val="none"/>
                <w:u w:val="none"/>
                <w:lang w:eastAsia="zh-CN" w:bidi="ar"/>
              </w:rPr>
              <w:t>5</w:t>
            </w: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i w:val="0"/>
                <w:iCs w:val="0"/>
                <w:color w:val="000000"/>
                <w:kern w:val="0"/>
                <w:sz w:val="24"/>
                <w:szCs w:val="24"/>
                <w:highlight w:val="none"/>
                <w:u w:val="none"/>
                <w:lang w:eastAsia="zh-CN" w:bidi="ar"/>
              </w:rPr>
              <w:t>8</w:t>
            </w:r>
            <w:r>
              <w:rPr>
                <w:rFonts w:hint="eastAsia" w:ascii="宋体" w:hAnsi="宋体" w:eastAsia="宋体" w:cs="宋体"/>
                <w:i w:val="0"/>
                <w:iCs w:val="0"/>
                <w:color w:val="000000"/>
                <w:kern w:val="0"/>
                <w:sz w:val="24"/>
                <w:szCs w:val="24"/>
                <w:highlight w:val="none"/>
                <w:u w:val="none"/>
                <w:lang w:val="en-US" w:eastAsia="zh-CN" w:bidi="ar"/>
              </w:rPr>
              <w:t>分。</w:t>
            </w:r>
          </w:p>
        </w:tc>
      </w:tr>
      <w:tr w14:paraId="6221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5" w:type="pct"/>
            <w:tcBorders>
              <w:top w:val="dotted" w:color="000000" w:sz="4" w:space="0"/>
              <w:left w:val="single" w:color="000000" w:sz="4" w:space="0"/>
              <w:bottom w:val="dotted" w:color="000000" w:sz="4" w:space="0"/>
              <w:right w:val="dotted" w:color="000000" w:sz="4" w:space="0"/>
            </w:tcBorders>
            <w:noWrap w:val="0"/>
            <w:vAlign w:val="center"/>
          </w:tcPr>
          <w:p w14:paraId="7ED90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default" w:ascii="宋体" w:hAnsi="宋体" w:eastAsia="宋体" w:cs="宋体"/>
                <w:i w:val="0"/>
                <w:iCs w:val="0"/>
                <w:color w:val="auto"/>
                <w:kern w:val="0"/>
                <w:sz w:val="24"/>
                <w:szCs w:val="24"/>
                <w:highlight w:val="none"/>
                <w:u w:val="none"/>
                <w:lang w:eastAsia="zh-CN" w:bidi="ar"/>
              </w:rPr>
              <w:t>4</w:t>
            </w:r>
            <w:r>
              <w:rPr>
                <w:rFonts w:hint="eastAsia" w:ascii="宋体" w:hAnsi="宋体" w:eastAsia="宋体" w:cs="宋体"/>
                <w:i w:val="0"/>
                <w:iCs w:val="0"/>
                <w:color w:val="auto"/>
                <w:kern w:val="0"/>
                <w:sz w:val="24"/>
                <w:szCs w:val="24"/>
                <w:highlight w:val="none"/>
                <w:u w:val="none"/>
                <w:lang w:val="en-US" w:eastAsia="zh-CN" w:bidi="ar"/>
              </w:rPr>
              <w:t>.最近一个会计年的营业利润率（</w:t>
            </w:r>
            <w:r>
              <w:rPr>
                <w:rFonts w:hint="default" w:ascii="宋体" w:hAnsi="宋体" w:eastAsia="宋体" w:cs="宋体"/>
                <w:i w:val="0"/>
                <w:iCs w:val="0"/>
                <w:color w:val="auto"/>
                <w:kern w:val="0"/>
                <w:sz w:val="24"/>
                <w:szCs w:val="24"/>
                <w:highlight w:val="none"/>
                <w:u w:val="none"/>
                <w:lang w:eastAsia="zh-CN" w:bidi="ar"/>
              </w:rPr>
              <w:t>20</w:t>
            </w:r>
            <w:r>
              <w:rPr>
                <w:rFonts w:hint="eastAsia" w:ascii="宋体" w:hAnsi="宋体" w:eastAsia="宋体" w:cs="宋体"/>
                <w:i w:val="0"/>
                <w:iCs w:val="0"/>
                <w:color w:val="auto"/>
                <w:kern w:val="0"/>
                <w:sz w:val="24"/>
                <w:szCs w:val="24"/>
                <w:highlight w:val="none"/>
                <w:u w:val="none"/>
                <w:lang w:val="en-US" w:eastAsia="zh-CN" w:bidi="ar"/>
              </w:rPr>
              <w:t>分）</w:t>
            </w:r>
          </w:p>
        </w:tc>
        <w:tc>
          <w:tcPr>
            <w:tcW w:w="4224" w:type="pct"/>
            <w:tcBorders>
              <w:top w:val="dotted" w:color="000000" w:sz="4" w:space="0"/>
              <w:left w:val="dotted" w:color="000000" w:sz="4" w:space="0"/>
              <w:bottom w:val="dotted" w:color="000000" w:sz="4" w:space="0"/>
              <w:right w:val="single" w:color="000000" w:sz="4" w:space="0"/>
            </w:tcBorders>
            <w:noWrap w:val="0"/>
            <w:vAlign w:val="center"/>
          </w:tcPr>
          <w:p w14:paraId="5E655C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未提供或提供的最近一个会计年的经审计的财务报表不完整、或报表数字不清晰、或财务报表未经审计，且不能判断其营业利润率的真实和准确性的，本项按“一般”评分。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优：10%＜营业利润率。1</w:t>
            </w:r>
            <w:r>
              <w:rPr>
                <w:rFonts w:hint="default" w:ascii="宋体" w:hAnsi="宋体" w:eastAsia="宋体" w:cs="宋体"/>
                <w:i w:val="0"/>
                <w:iCs w:val="0"/>
                <w:color w:val="auto"/>
                <w:kern w:val="0"/>
                <w:sz w:val="24"/>
                <w:szCs w:val="24"/>
                <w:highlight w:val="none"/>
                <w:u w:val="none"/>
                <w:lang w:eastAsia="zh-CN" w:bidi="ar"/>
              </w:rPr>
              <w:t>5</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eastAsia="zh-CN" w:bidi="ar"/>
              </w:rPr>
              <w:t>20</w:t>
            </w:r>
            <w:r>
              <w:rPr>
                <w:rFonts w:hint="eastAsia" w:ascii="宋体" w:hAnsi="宋体" w:eastAsia="宋体" w:cs="宋体"/>
                <w:i w:val="0"/>
                <w:iCs w:val="0"/>
                <w:color w:val="auto"/>
                <w:kern w:val="0"/>
                <w:sz w:val="24"/>
                <w:szCs w:val="24"/>
                <w:highlight w:val="none"/>
                <w:u w:val="none"/>
                <w:lang w:val="en-US" w:eastAsia="zh-CN" w:bidi="ar"/>
              </w:rPr>
              <w:t>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良：5%＜营业利润率≦10%。11-1</w:t>
            </w:r>
            <w:r>
              <w:rPr>
                <w:rFonts w:hint="default" w:ascii="宋体" w:hAnsi="宋体" w:eastAsia="宋体" w:cs="宋体"/>
                <w:i w:val="0"/>
                <w:iCs w:val="0"/>
                <w:color w:val="auto"/>
                <w:kern w:val="0"/>
                <w:sz w:val="24"/>
                <w:szCs w:val="24"/>
                <w:highlight w:val="none"/>
                <w:u w:val="none"/>
                <w:lang w:eastAsia="zh-CN" w:bidi="ar"/>
              </w:rPr>
              <w:t>4</w:t>
            </w:r>
            <w:r>
              <w:rPr>
                <w:rFonts w:hint="eastAsia" w:ascii="宋体" w:hAnsi="宋体" w:eastAsia="宋体" w:cs="宋体"/>
                <w:i w:val="0"/>
                <w:iCs w:val="0"/>
                <w:color w:val="auto"/>
                <w:kern w:val="0"/>
                <w:sz w:val="24"/>
                <w:szCs w:val="24"/>
                <w:highlight w:val="none"/>
                <w:u w:val="none"/>
                <w:lang w:val="en-US" w:eastAsia="zh-CN" w:bidi="ar"/>
              </w:rPr>
              <w:t>.5分。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一般：营业利润率≦5%。9-10.5分。</w:t>
            </w:r>
          </w:p>
        </w:tc>
      </w:tr>
      <w:tr w14:paraId="4105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775" w:type="pct"/>
            <w:tcBorders>
              <w:top w:val="dotted" w:color="000000" w:sz="4" w:space="0"/>
              <w:left w:val="single" w:color="000000" w:sz="4" w:space="0"/>
              <w:bottom w:val="dotted" w:color="000000" w:sz="4" w:space="0"/>
              <w:right w:val="dotted" w:color="000000" w:sz="4" w:space="0"/>
            </w:tcBorders>
            <w:noWrap w:val="0"/>
            <w:vAlign w:val="center"/>
          </w:tcPr>
          <w:p w14:paraId="6FFA02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default" w:ascii="宋体" w:hAnsi="宋体" w:eastAsia="宋体" w:cs="宋体"/>
                <w:i w:val="0"/>
                <w:iCs w:val="0"/>
                <w:color w:val="000000"/>
                <w:kern w:val="0"/>
                <w:sz w:val="24"/>
                <w:szCs w:val="24"/>
                <w:highlight w:val="none"/>
                <w:u w:val="none"/>
                <w:lang w:eastAsia="zh-CN" w:bidi="ar"/>
              </w:rPr>
              <w:t>5</w:t>
            </w:r>
            <w:r>
              <w:rPr>
                <w:rFonts w:hint="eastAsia" w:ascii="宋体" w:hAnsi="宋体" w:eastAsia="宋体" w:cs="宋体"/>
                <w:i w:val="0"/>
                <w:iCs w:val="0"/>
                <w:color w:val="000000"/>
                <w:kern w:val="0"/>
                <w:sz w:val="24"/>
                <w:szCs w:val="24"/>
                <w:highlight w:val="none"/>
                <w:u w:val="none"/>
                <w:lang w:val="en-US" w:eastAsia="zh-CN" w:bidi="ar"/>
              </w:rPr>
              <w:t>.最近一个会计年的流动比率和速动比率（15分）</w:t>
            </w:r>
          </w:p>
        </w:tc>
        <w:tc>
          <w:tcPr>
            <w:tcW w:w="4224" w:type="pct"/>
            <w:tcBorders>
              <w:top w:val="dotted" w:color="000000" w:sz="4" w:space="0"/>
              <w:left w:val="dotted" w:color="000000" w:sz="4" w:space="0"/>
              <w:bottom w:val="dotted" w:color="000000" w:sz="4" w:space="0"/>
              <w:right w:val="single" w:color="000000" w:sz="4" w:space="0"/>
            </w:tcBorders>
            <w:noWrap w:val="0"/>
            <w:vAlign w:val="center"/>
          </w:tcPr>
          <w:p w14:paraId="2E56F3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未提供或提供的最近一个会计年的经审计的财务报表不完整、或报表数字不清晰、或财务报表未经审计，且不能判断其</w:t>
            </w:r>
            <w:r>
              <w:rPr>
                <w:rFonts w:hint="eastAsia" w:ascii="宋体" w:hAnsi="宋体" w:eastAsia="宋体" w:cs="宋体"/>
                <w:i w:val="0"/>
                <w:iCs w:val="0"/>
                <w:color w:val="auto"/>
                <w:kern w:val="0"/>
                <w:sz w:val="24"/>
                <w:szCs w:val="24"/>
                <w:highlight w:val="none"/>
                <w:u w:val="none"/>
                <w:lang w:val="en-US" w:eastAsia="zh-CN" w:bidi="ar"/>
              </w:rPr>
              <w:t>流动比率或速动比率</w:t>
            </w:r>
            <w:r>
              <w:rPr>
                <w:rFonts w:hint="eastAsia" w:ascii="宋体" w:hAnsi="宋体" w:eastAsia="宋体" w:cs="宋体"/>
                <w:i w:val="0"/>
                <w:iCs w:val="0"/>
                <w:color w:val="000000"/>
                <w:kern w:val="0"/>
                <w:sz w:val="24"/>
                <w:szCs w:val="24"/>
                <w:highlight w:val="none"/>
                <w:u w:val="none"/>
                <w:lang w:val="en-US" w:eastAsia="zh-CN" w:bidi="ar"/>
              </w:rPr>
              <w:t>的真实和准确性的，本项按“一般”评分。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优：流动比率≥2，或速动比率≥1。13-15分。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良：1.5≤流动比率＜2，或0.75≤速动比率＜1。11-12.5分。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一般：流动比率＜1.5，或速动比率＜0.75。9-10.5分。</w:t>
            </w:r>
          </w:p>
        </w:tc>
      </w:tr>
      <w:tr w14:paraId="0676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75" w:type="pct"/>
            <w:tcBorders>
              <w:top w:val="dotted" w:color="000000" w:sz="4" w:space="0"/>
              <w:left w:val="single" w:color="000000" w:sz="4" w:space="0"/>
              <w:bottom w:val="single" w:color="000000" w:sz="4" w:space="0"/>
              <w:right w:val="dotted" w:color="000000" w:sz="4" w:space="0"/>
            </w:tcBorders>
            <w:noWrap w:val="0"/>
            <w:vAlign w:val="center"/>
          </w:tcPr>
          <w:p w14:paraId="254EFA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default" w:ascii="宋体" w:hAnsi="宋体" w:eastAsia="宋体" w:cs="宋体"/>
                <w:i w:val="0"/>
                <w:iCs w:val="0"/>
                <w:color w:val="000000"/>
                <w:kern w:val="0"/>
                <w:sz w:val="24"/>
                <w:szCs w:val="24"/>
                <w:highlight w:val="none"/>
                <w:u w:val="none"/>
                <w:lang w:eastAsia="zh-CN" w:bidi="ar"/>
              </w:rPr>
              <w:t>6</w:t>
            </w:r>
            <w:r>
              <w:rPr>
                <w:rFonts w:hint="eastAsia" w:ascii="宋体" w:hAnsi="宋体" w:eastAsia="宋体" w:cs="宋体"/>
                <w:i w:val="0"/>
                <w:iCs w:val="0"/>
                <w:color w:val="000000"/>
                <w:kern w:val="0"/>
                <w:sz w:val="24"/>
                <w:szCs w:val="24"/>
                <w:highlight w:val="none"/>
                <w:u w:val="none"/>
                <w:lang w:val="en-US" w:eastAsia="zh-CN" w:bidi="ar"/>
              </w:rPr>
              <w:t>.报价质量（30分）</w:t>
            </w:r>
          </w:p>
        </w:tc>
        <w:tc>
          <w:tcPr>
            <w:tcW w:w="4224" w:type="pct"/>
            <w:tcBorders>
              <w:top w:val="dotted" w:color="000000" w:sz="4" w:space="0"/>
              <w:left w:val="dotted" w:color="000000" w:sz="4" w:space="0"/>
              <w:bottom w:val="single" w:color="000000" w:sz="4" w:space="0"/>
              <w:right w:val="single" w:color="000000" w:sz="4" w:space="0"/>
            </w:tcBorders>
            <w:noWrap w:val="0"/>
            <w:vAlign w:val="center"/>
          </w:tcPr>
          <w:p w14:paraId="0E075B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报价文件的计算准确性以及单价的合理性。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优：报价文件计算准确，无算术错误，且各项报价合理，无不均衡报价，符合市场规律。27-30分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良：报价文件有1处算术错误，或各项报价较合理，存在不均衡报价。24-26.5分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一般：报价文件有2处及以上算术错误，或存在较大程度不均衡性报价，或有行项目未报价，或有单价为0报价的。20-23.5分</w:t>
            </w:r>
          </w:p>
        </w:tc>
      </w:tr>
    </w:tbl>
    <w:p w14:paraId="74476F66">
      <w:pPr>
        <w:widowControl/>
        <w:ind w:firstLine="240" w:firstLineChars="100"/>
        <w:jc w:val="left"/>
        <w:rPr>
          <w:rFonts w:ascii="宋体" w:hAnsi="宋体" w:cs="宋体"/>
          <w:bCs/>
          <w:color w:val="FF0000"/>
          <w:sz w:val="24"/>
          <w:szCs w:val="24"/>
          <w:highlight w:val="none"/>
        </w:rPr>
      </w:pPr>
    </w:p>
    <w:p w14:paraId="7D734BDB">
      <w:pPr>
        <w:pStyle w:val="14"/>
        <w:rPr>
          <w:rFonts w:ascii="宋体" w:hAnsi="宋体" w:cs="宋体"/>
          <w:b/>
          <w:bCs w:val="0"/>
          <w:sz w:val="24"/>
          <w:szCs w:val="24"/>
          <w:highlight w:val="none"/>
        </w:rPr>
      </w:pPr>
      <w:r>
        <w:rPr>
          <w:rFonts w:hint="eastAsia" w:ascii="宋体" w:hAnsi="宋体" w:cs="宋体"/>
          <w:b/>
          <w:bCs w:val="0"/>
          <w:sz w:val="24"/>
          <w:szCs w:val="24"/>
          <w:highlight w:val="none"/>
        </w:rPr>
        <w:t>二、技术评分标准</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1"/>
        <w:gridCol w:w="7844"/>
      </w:tblGrid>
      <w:tr w14:paraId="512F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6" w:type="pct"/>
            <w:tcBorders>
              <w:top w:val="single" w:color="000000" w:sz="4" w:space="0"/>
              <w:left w:val="single" w:color="000000" w:sz="4" w:space="0"/>
              <w:bottom w:val="single" w:color="auto" w:sz="4" w:space="0"/>
              <w:right w:val="dotted" w:color="000000" w:sz="4" w:space="0"/>
            </w:tcBorders>
            <w:noWrap w:val="0"/>
            <w:vAlign w:val="center"/>
          </w:tcPr>
          <w:p w14:paraId="7C4F141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评定项目</w:t>
            </w:r>
          </w:p>
        </w:tc>
        <w:tc>
          <w:tcPr>
            <w:tcW w:w="4223" w:type="pct"/>
            <w:tcBorders>
              <w:top w:val="single" w:color="000000" w:sz="4" w:space="0"/>
              <w:left w:val="dotted" w:color="000000" w:sz="4" w:space="0"/>
              <w:bottom w:val="single" w:color="auto" w:sz="4" w:space="0"/>
              <w:right w:val="single" w:color="000000" w:sz="4" w:space="0"/>
            </w:tcBorders>
            <w:noWrap w:val="0"/>
            <w:vAlign w:val="center"/>
          </w:tcPr>
          <w:p w14:paraId="20389C0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default" w:ascii="宋体" w:hAnsi="宋体" w:eastAsia="宋体" w:cs="宋体"/>
                <w:b/>
                <w:bCs/>
                <w:i w:val="0"/>
                <w:iCs w:val="0"/>
                <w:color w:val="000000"/>
                <w:kern w:val="0"/>
                <w:sz w:val="24"/>
                <w:szCs w:val="24"/>
                <w:highlight w:val="none"/>
                <w:u w:val="none"/>
                <w:lang w:eastAsia="zh-CN" w:bidi="ar"/>
              </w:rPr>
              <w:t>技术</w:t>
            </w:r>
            <w:r>
              <w:rPr>
                <w:rFonts w:hint="eastAsia" w:ascii="宋体" w:hAnsi="宋体" w:eastAsia="宋体" w:cs="宋体"/>
                <w:b/>
                <w:bCs/>
                <w:i w:val="0"/>
                <w:iCs w:val="0"/>
                <w:color w:val="000000"/>
                <w:kern w:val="0"/>
                <w:sz w:val="24"/>
                <w:szCs w:val="24"/>
                <w:highlight w:val="none"/>
                <w:u w:val="none"/>
                <w:lang w:val="en-US" w:eastAsia="zh-CN" w:bidi="ar"/>
              </w:rPr>
              <w:t>评分细则</w:t>
            </w:r>
          </w:p>
        </w:tc>
      </w:tr>
      <w:tr w14:paraId="51F2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902881">
            <w:pPr>
              <w:autoSpaceDE w:val="0"/>
              <w:autoSpaceDN w:val="0"/>
              <w:adjustRightInd w:val="0"/>
              <w:snapToGrid w:val="0"/>
              <w:spacing w:line="312" w:lineRule="auto"/>
              <w:ind w:right="-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施工方案与</w:t>
            </w:r>
          </w:p>
          <w:p w14:paraId="469CB9CE">
            <w:pPr>
              <w:autoSpaceDE w:val="0"/>
              <w:autoSpaceDN w:val="0"/>
              <w:adjustRightInd w:val="0"/>
              <w:snapToGrid w:val="0"/>
              <w:spacing w:line="312" w:lineRule="auto"/>
              <w:ind w:right="-20" w:rightChars="0"/>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技术措施（</w:t>
            </w:r>
            <w:r>
              <w:rPr>
                <w:rFonts w:hint="default" w:cstheme="minorEastAsia"/>
                <w:kern w:val="0"/>
                <w:sz w:val="24"/>
                <w:szCs w:val="24"/>
                <w:lang w:eastAsia="zh-CN"/>
              </w:rPr>
              <w:t>6</w:t>
            </w: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分）</w:t>
            </w:r>
          </w:p>
        </w:tc>
        <w:tc>
          <w:tcPr>
            <w:tcW w:w="42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32CBC2">
            <w:pPr>
              <w:numPr>
                <w:ilvl w:val="0"/>
                <w:numId w:val="0"/>
              </w:numPr>
              <w:spacing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施工方案先进，技术措施可行，</w:t>
            </w:r>
            <w:r>
              <w:rPr>
                <w:rFonts w:hint="eastAsia" w:asciiTheme="minorEastAsia" w:hAnsiTheme="minorEastAsia" w:eastAsiaTheme="minorEastAsia" w:cstheme="minorEastAsia"/>
                <w:sz w:val="24"/>
                <w:szCs w:val="24"/>
                <w:lang w:val="en-US" w:eastAsia="zh-CN"/>
              </w:rPr>
              <w:t>对项目认识和理解充分，</w:t>
            </w:r>
            <w:r>
              <w:rPr>
                <w:rFonts w:hint="eastAsia" w:asciiTheme="minorEastAsia" w:hAnsiTheme="minorEastAsia" w:eastAsiaTheme="minorEastAsia" w:cstheme="minorEastAsia"/>
                <w:sz w:val="24"/>
                <w:szCs w:val="24"/>
              </w:rPr>
              <w:t>对工程质量、工期和安全生产有充分保障得</w:t>
            </w:r>
            <w:r>
              <w:rPr>
                <w:rFonts w:hint="default" w:cstheme="minorEastAsia"/>
                <w:sz w:val="24"/>
                <w:szCs w:val="24"/>
                <w:lang w:eastAsia="zh-CN"/>
              </w:rPr>
              <w:t>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default" w:cstheme="minorEastAsia"/>
                <w:sz w:val="24"/>
                <w:szCs w:val="24"/>
                <w:lang w:eastAsia="zh-CN"/>
              </w:rPr>
              <w:t>50</w:t>
            </w:r>
            <w:r>
              <w:rPr>
                <w:rFonts w:hint="eastAsia" w:asciiTheme="minorEastAsia" w:hAnsiTheme="minorEastAsia" w:eastAsiaTheme="minorEastAsia" w:cstheme="minorEastAsia"/>
                <w:sz w:val="24"/>
                <w:szCs w:val="24"/>
              </w:rPr>
              <w:t>分；对</w:t>
            </w:r>
            <w:r>
              <w:rPr>
                <w:rFonts w:hint="eastAsia" w:asciiTheme="minorEastAsia" w:hAnsiTheme="minorEastAsia" w:eastAsiaTheme="minorEastAsia" w:cstheme="minorEastAsia"/>
                <w:sz w:val="24"/>
                <w:szCs w:val="24"/>
                <w:lang w:val="en-US" w:eastAsia="zh-CN"/>
              </w:rPr>
              <w:t>项目认识和理解基本充分，</w:t>
            </w:r>
            <w:r>
              <w:rPr>
                <w:rFonts w:hint="eastAsia" w:asciiTheme="minorEastAsia" w:hAnsiTheme="minorEastAsia" w:eastAsiaTheme="minorEastAsia" w:cstheme="minorEastAsia"/>
                <w:sz w:val="24"/>
                <w:szCs w:val="24"/>
              </w:rPr>
              <w:t>工程质量、工期和安全生产基本有保障得1～</w:t>
            </w:r>
            <w:r>
              <w:rPr>
                <w:rFonts w:hint="default" w:cstheme="minorEastAsia"/>
                <w:sz w:val="24"/>
                <w:szCs w:val="24"/>
                <w:lang w:eastAsia="zh-CN"/>
              </w:rPr>
              <w:t>2</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分；否则得0分。</w:t>
            </w:r>
          </w:p>
          <w:p w14:paraId="3A20B89C">
            <w:pPr>
              <w:numPr>
                <w:ilvl w:val="0"/>
                <w:numId w:val="0"/>
              </w:numPr>
              <w:spacing w:line="312" w:lineRule="auto"/>
              <w:ind w:left="0" w:lef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在保证工程质量和安全生产的基础上，能在</w:t>
            </w:r>
            <w:r>
              <w:rPr>
                <w:rFonts w:hint="eastAsia" w:asciiTheme="minorEastAsia" w:hAnsiTheme="minorEastAsia" w:eastAsiaTheme="minorEastAsia" w:cstheme="minorEastAsia"/>
                <w:sz w:val="24"/>
                <w:szCs w:val="24"/>
                <w:lang w:val="en-US" w:eastAsia="zh-CN"/>
              </w:rPr>
              <w:t>计划工期</w:t>
            </w:r>
            <w:r>
              <w:rPr>
                <w:rFonts w:hint="eastAsia" w:asciiTheme="minorEastAsia" w:hAnsiTheme="minorEastAsia" w:eastAsiaTheme="minorEastAsia" w:cstheme="minorEastAsia"/>
                <w:sz w:val="24"/>
                <w:szCs w:val="24"/>
              </w:rPr>
              <w:t>内完成全部建设内容得</w:t>
            </w:r>
            <w:r>
              <w:rPr>
                <w:rFonts w:hint="default" w:cstheme="minorEastAsia"/>
                <w:sz w:val="24"/>
                <w:szCs w:val="24"/>
                <w:lang w:eastAsia="zh-CN"/>
              </w:rPr>
              <w:t>10</w:t>
            </w:r>
            <w:r>
              <w:rPr>
                <w:rFonts w:hint="eastAsia" w:asciiTheme="minorEastAsia" w:hAnsiTheme="minorEastAsia" w:eastAsiaTheme="minorEastAsia" w:cstheme="minorEastAsia"/>
                <w:sz w:val="24"/>
                <w:szCs w:val="24"/>
              </w:rPr>
              <w:t>分，否则得0分（需提供承诺书，无不得分）。</w:t>
            </w:r>
          </w:p>
        </w:tc>
      </w:tr>
      <w:tr w14:paraId="72D6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46FDEB5">
            <w:pPr>
              <w:autoSpaceDE w:val="0"/>
              <w:autoSpaceDN w:val="0"/>
              <w:adjustRightInd w:val="0"/>
              <w:snapToGrid w:val="0"/>
              <w:spacing w:line="312" w:lineRule="auto"/>
              <w:ind w:right="-20"/>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质量管理体系与措施（</w:t>
            </w:r>
            <w:r>
              <w:rPr>
                <w:rFonts w:hint="default" w:cstheme="minorEastAsia"/>
                <w:kern w:val="0"/>
                <w:sz w:val="24"/>
                <w:szCs w:val="24"/>
                <w:lang w:eastAsia="zh-CN"/>
              </w:rPr>
              <w:t>5</w:t>
            </w:r>
            <w:r>
              <w:rPr>
                <w:rFonts w:hint="eastAsia" w:asciiTheme="minorEastAsia" w:hAnsiTheme="minorEastAsia" w:eastAsiaTheme="minorEastAsia" w:cstheme="minorEastAsia"/>
                <w:kern w:val="0"/>
                <w:sz w:val="24"/>
                <w:szCs w:val="24"/>
              </w:rPr>
              <w:t>分）</w:t>
            </w:r>
          </w:p>
        </w:tc>
        <w:tc>
          <w:tcPr>
            <w:tcW w:w="4223" w:type="pct"/>
            <w:tcBorders>
              <w:top w:val="single" w:color="auto" w:sz="4" w:space="0"/>
              <w:left w:val="single" w:color="auto" w:sz="4" w:space="0"/>
              <w:bottom w:val="single" w:color="auto" w:sz="4" w:space="0"/>
              <w:right w:val="single" w:color="auto" w:sz="4" w:space="0"/>
            </w:tcBorders>
            <w:shd w:val="clear" w:color="auto" w:fill="auto"/>
            <w:vAlign w:val="center"/>
          </w:tcPr>
          <w:p w14:paraId="772AB526">
            <w:pPr>
              <w:spacing w:line="312"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质量管理体系健全，措施可行得</w:t>
            </w:r>
            <w:r>
              <w:rPr>
                <w:rFonts w:hint="default" w:cstheme="minorEastAsia"/>
                <w:sz w:val="24"/>
                <w:szCs w:val="24"/>
                <w:lang w:eastAsia="zh-CN"/>
              </w:rPr>
              <w:t>5</w:t>
            </w:r>
            <w:r>
              <w:rPr>
                <w:rFonts w:hint="eastAsia" w:asciiTheme="minorEastAsia" w:hAnsiTheme="minorEastAsia" w:eastAsiaTheme="minorEastAsia" w:cstheme="minorEastAsia"/>
                <w:sz w:val="24"/>
                <w:szCs w:val="24"/>
              </w:rPr>
              <w:t>分；基本健全，措施基本可行得</w:t>
            </w:r>
            <w:r>
              <w:rPr>
                <w:rFonts w:hint="default" w:cstheme="minorEastAsia"/>
                <w:sz w:val="24"/>
                <w:szCs w:val="24"/>
              </w:rPr>
              <w:t>1</w:t>
            </w:r>
            <w:r>
              <w:rPr>
                <w:rFonts w:hint="eastAsia" w:asciiTheme="minorEastAsia" w:hAnsiTheme="minorEastAsia" w:eastAsiaTheme="minorEastAsia" w:cstheme="minorEastAsia"/>
                <w:sz w:val="24"/>
                <w:szCs w:val="24"/>
              </w:rPr>
              <w:t>～</w:t>
            </w:r>
            <w:r>
              <w:rPr>
                <w:rFonts w:hint="default" w:cstheme="minorEastAsia"/>
                <w:sz w:val="24"/>
                <w:szCs w:val="24"/>
                <w:lang w:eastAsia="zh-CN"/>
              </w:rPr>
              <w:t>4</w:t>
            </w:r>
            <w:r>
              <w:rPr>
                <w:rFonts w:hint="eastAsia" w:asciiTheme="minorEastAsia" w:hAnsiTheme="minorEastAsia" w:eastAsiaTheme="minorEastAsia" w:cstheme="minorEastAsia"/>
                <w:sz w:val="24"/>
                <w:szCs w:val="24"/>
              </w:rPr>
              <w:t>分；否则得0分。</w:t>
            </w:r>
          </w:p>
        </w:tc>
      </w:tr>
      <w:tr w14:paraId="7988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A589126">
            <w:pPr>
              <w:autoSpaceDE w:val="0"/>
              <w:autoSpaceDN w:val="0"/>
              <w:adjustRightInd w:val="0"/>
              <w:snapToGrid w:val="0"/>
              <w:spacing w:line="312" w:lineRule="auto"/>
              <w:ind w:right="-20"/>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安全管理体系与措施（</w:t>
            </w:r>
            <w:r>
              <w:rPr>
                <w:rFonts w:hint="default" w:cstheme="minorEastAsia"/>
                <w:kern w:val="0"/>
                <w:sz w:val="24"/>
                <w:szCs w:val="24"/>
                <w:lang w:eastAsia="zh-CN"/>
              </w:rPr>
              <w:t>5</w:t>
            </w:r>
            <w:r>
              <w:rPr>
                <w:rFonts w:hint="eastAsia" w:asciiTheme="minorEastAsia" w:hAnsiTheme="minorEastAsia" w:eastAsiaTheme="minorEastAsia" w:cstheme="minorEastAsia"/>
                <w:kern w:val="0"/>
                <w:sz w:val="24"/>
                <w:szCs w:val="24"/>
              </w:rPr>
              <w:t>分）</w:t>
            </w:r>
          </w:p>
        </w:tc>
        <w:tc>
          <w:tcPr>
            <w:tcW w:w="4223" w:type="pct"/>
            <w:tcBorders>
              <w:top w:val="single" w:color="auto" w:sz="4" w:space="0"/>
              <w:left w:val="single" w:color="auto" w:sz="4" w:space="0"/>
              <w:bottom w:val="single" w:color="auto" w:sz="4" w:space="0"/>
              <w:right w:val="single" w:color="auto" w:sz="4" w:space="0"/>
            </w:tcBorders>
            <w:shd w:val="clear" w:color="auto" w:fill="auto"/>
            <w:vAlign w:val="center"/>
          </w:tcPr>
          <w:p w14:paraId="359291FA">
            <w:pPr>
              <w:spacing w:line="312"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安全管理体系健全，措施可行得</w:t>
            </w:r>
            <w:r>
              <w:rPr>
                <w:rFonts w:hint="default" w:cstheme="minorEastAsia"/>
                <w:sz w:val="24"/>
                <w:szCs w:val="24"/>
                <w:lang w:eastAsia="zh-CN"/>
              </w:rPr>
              <w:t>5</w:t>
            </w:r>
            <w:r>
              <w:rPr>
                <w:rFonts w:hint="eastAsia" w:asciiTheme="minorEastAsia" w:hAnsiTheme="minorEastAsia" w:eastAsiaTheme="minorEastAsia" w:cstheme="minorEastAsia"/>
                <w:sz w:val="24"/>
                <w:szCs w:val="24"/>
              </w:rPr>
              <w:t>分；基本健全，措施基本可行得1～</w:t>
            </w:r>
            <w:r>
              <w:rPr>
                <w:rFonts w:hint="default" w:cstheme="minorEastAsia"/>
                <w:sz w:val="24"/>
                <w:szCs w:val="24"/>
                <w:lang w:eastAsia="zh-CN"/>
              </w:rPr>
              <w:t>4</w:t>
            </w:r>
            <w:r>
              <w:rPr>
                <w:rFonts w:hint="eastAsia" w:asciiTheme="minorEastAsia" w:hAnsiTheme="minorEastAsia" w:eastAsiaTheme="minorEastAsia" w:cstheme="minorEastAsia"/>
                <w:sz w:val="24"/>
                <w:szCs w:val="24"/>
              </w:rPr>
              <w:t>分；否则得0分。</w:t>
            </w:r>
          </w:p>
        </w:tc>
      </w:tr>
      <w:tr w14:paraId="1529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0407C46">
            <w:pPr>
              <w:autoSpaceDE w:val="0"/>
              <w:autoSpaceDN w:val="0"/>
              <w:adjustRightInd w:val="0"/>
              <w:snapToGrid w:val="0"/>
              <w:spacing w:line="312" w:lineRule="auto"/>
              <w:ind w:right="-20"/>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环境保护管理体系与措施（</w:t>
            </w:r>
            <w:r>
              <w:rPr>
                <w:rFonts w:hint="default" w:cstheme="minorEastAsia"/>
                <w:kern w:val="0"/>
                <w:sz w:val="24"/>
                <w:szCs w:val="24"/>
                <w:lang w:eastAsia="zh-CN"/>
              </w:rPr>
              <w:t>5</w:t>
            </w:r>
            <w:r>
              <w:rPr>
                <w:rFonts w:hint="eastAsia" w:asciiTheme="minorEastAsia" w:hAnsiTheme="minorEastAsia" w:eastAsiaTheme="minorEastAsia" w:cstheme="minorEastAsia"/>
                <w:kern w:val="0"/>
                <w:sz w:val="24"/>
                <w:szCs w:val="24"/>
              </w:rPr>
              <w:t>分）</w:t>
            </w:r>
          </w:p>
        </w:tc>
        <w:tc>
          <w:tcPr>
            <w:tcW w:w="4223" w:type="pct"/>
            <w:tcBorders>
              <w:top w:val="single" w:color="auto" w:sz="4" w:space="0"/>
              <w:left w:val="single" w:color="auto" w:sz="4" w:space="0"/>
              <w:bottom w:val="single" w:color="auto" w:sz="4" w:space="0"/>
              <w:right w:val="single" w:color="auto" w:sz="4" w:space="0"/>
            </w:tcBorders>
            <w:shd w:val="clear" w:color="auto" w:fill="auto"/>
            <w:vAlign w:val="center"/>
          </w:tcPr>
          <w:p w14:paraId="26D5E944">
            <w:pPr>
              <w:spacing w:line="312"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环境保护管理体系健全，措施可行得</w:t>
            </w:r>
            <w:r>
              <w:rPr>
                <w:rFonts w:hint="default" w:cstheme="minorEastAsia"/>
                <w:sz w:val="24"/>
                <w:szCs w:val="24"/>
                <w:lang w:eastAsia="zh-CN"/>
              </w:rPr>
              <w:t>5</w:t>
            </w:r>
            <w:r>
              <w:rPr>
                <w:rFonts w:hint="eastAsia" w:asciiTheme="minorEastAsia" w:hAnsiTheme="minorEastAsia" w:eastAsiaTheme="minorEastAsia" w:cstheme="minorEastAsia"/>
                <w:sz w:val="24"/>
                <w:szCs w:val="24"/>
              </w:rPr>
              <w:t>分；基本健全，措施基本可行得</w:t>
            </w:r>
            <w:r>
              <w:rPr>
                <w:rFonts w:hint="default" w:cstheme="minorEastAsia"/>
                <w:sz w:val="24"/>
                <w:szCs w:val="24"/>
              </w:rPr>
              <w:t>2</w:t>
            </w:r>
            <w:r>
              <w:rPr>
                <w:rFonts w:hint="eastAsia" w:asciiTheme="minorEastAsia" w:hAnsiTheme="minorEastAsia" w:eastAsiaTheme="minorEastAsia" w:cstheme="minorEastAsia"/>
                <w:sz w:val="24"/>
                <w:szCs w:val="24"/>
              </w:rPr>
              <w:t>分；否则得0分。</w:t>
            </w:r>
          </w:p>
        </w:tc>
      </w:tr>
      <w:tr w14:paraId="130A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845D357">
            <w:pPr>
              <w:autoSpaceDE w:val="0"/>
              <w:autoSpaceDN w:val="0"/>
              <w:adjustRightInd w:val="0"/>
              <w:snapToGrid w:val="0"/>
              <w:spacing w:line="312" w:lineRule="auto"/>
              <w:ind w:right="-20"/>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工程进度计划与保证措施（</w:t>
            </w:r>
            <w:r>
              <w:rPr>
                <w:rFonts w:hint="default" w:cstheme="minorEastAsia"/>
                <w:kern w:val="0"/>
                <w:sz w:val="24"/>
                <w:szCs w:val="24"/>
                <w:lang w:eastAsia="zh-CN"/>
              </w:rPr>
              <w:t>10</w:t>
            </w:r>
            <w:r>
              <w:rPr>
                <w:rFonts w:hint="eastAsia" w:asciiTheme="minorEastAsia" w:hAnsiTheme="minorEastAsia" w:eastAsiaTheme="minorEastAsia" w:cstheme="minorEastAsia"/>
                <w:kern w:val="0"/>
                <w:sz w:val="24"/>
                <w:szCs w:val="24"/>
              </w:rPr>
              <w:t>分）</w:t>
            </w:r>
          </w:p>
        </w:tc>
        <w:tc>
          <w:tcPr>
            <w:tcW w:w="4223" w:type="pct"/>
            <w:tcBorders>
              <w:top w:val="single" w:color="auto" w:sz="4" w:space="0"/>
              <w:left w:val="single" w:color="auto" w:sz="4" w:space="0"/>
              <w:bottom w:val="single" w:color="auto" w:sz="4" w:space="0"/>
              <w:right w:val="single" w:color="auto" w:sz="4" w:space="0"/>
            </w:tcBorders>
            <w:shd w:val="clear" w:color="auto" w:fill="auto"/>
            <w:vAlign w:val="center"/>
          </w:tcPr>
          <w:p w14:paraId="3E03E4B8">
            <w:pPr>
              <w:spacing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(1)工程进度计划安排合理、可行得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分；基本合理、可行得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分；否则得0分。</w:t>
            </w:r>
          </w:p>
          <w:p w14:paraId="2B0E19F3">
            <w:pPr>
              <w:spacing w:line="312"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(2)工程进度计划保证措施能充分保证计划工期实现得</w:t>
            </w:r>
            <w:r>
              <w:rPr>
                <w:rFonts w:hint="default" w:cstheme="minorEastAsia"/>
                <w:sz w:val="24"/>
                <w:szCs w:val="24"/>
              </w:rPr>
              <w:t>5</w:t>
            </w:r>
            <w:r>
              <w:rPr>
                <w:rFonts w:hint="eastAsia" w:asciiTheme="minorEastAsia" w:hAnsiTheme="minorEastAsia" w:eastAsiaTheme="minorEastAsia" w:cstheme="minorEastAsia"/>
                <w:sz w:val="24"/>
                <w:szCs w:val="24"/>
              </w:rPr>
              <w:t>分；能基本保证计划工期实现得</w:t>
            </w:r>
            <w:r>
              <w:rPr>
                <w:rFonts w:hint="default" w:cstheme="minorEastAsia"/>
                <w:sz w:val="24"/>
                <w:szCs w:val="24"/>
                <w:lang w:eastAsia="zh-CN"/>
              </w:rPr>
              <w:t>2</w:t>
            </w:r>
            <w:r>
              <w:rPr>
                <w:rFonts w:hint="eastAsia" w:asciiTheme="minorEastAsia" w:hAnsiTheme="minorEastAsia" w:eastAsiaTheme="minorEastAsia" w:cstheme="minorEastAsia"/>
                <w:sz w:val="24"/>
                <w:szCs w:val="24"/>
              </w:rPr>
              <w:t>分；否则得0分。</w:t>
            </w:r>
          </w:p>
        </w:tc>
      </w:tr>
      <w:tr w14:paraId="7569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A1CB4D2">
            <w:pPr>
              <w:autoSpaceDE w:val="0"/>
              <w:autoSpaceDN w:val="0"/>
              <w:adjustRightInd w:val="0"/>
              <w:snapToGrid w:val="0"/>
              <w:spacing w:line="312" w:lineRule="auto"/>
              <w:ind w:right="-20"/>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资源配备计划（</w:t>
            </w:r>
            <w:r>
              <w:rPr>
                <w:rFonts w:hint="default" w:cstheme="minorEastAsia"/>
                <w:kern w:val="0"/>
                <w:sz w:val="24"/>
                <w:szCs w:val="24"/>
                <w:lang w:eastAsia="zh-CN"/>
              </w:rPr>
              <w:t>10</w:t>
            </w:r>
            <w:r>
              <w:rPr>
                <w:rFonts w:hint="eastAsia" w:asciiTheme="minorEastAsia" w:hAnsiTheme="minorEastAsia" w:eastAsiaTheme="minorEastAsia" w:cstheme="minorEastAsia"/>
                <w:kern w:val="0"/>
                <w:sz w:val="24"/>
                <w:szCs w:val="24"/>
              </w:rPr>
              <w:t>分）</w:t>
            </w:r>
          </w:p>
        </w:tc>
        <w:tc>
          <w:tcPr>
            <w:tcW w:w="4223" w:type="pct"/>
            <w:tcBorders>
              <w:top w:val="single" w:color="auto" w:sz="4" w:space="0"/>
              <w:left w:val="single" w:color="auto" w:sz="4" w:space="0"/>
              <w:bottom w:val="single" w:color="auto" w:sz="4" w:space="0"/>
              <w:right w:val="single" w:color="auto" w:sz="4" w:space="0"/>
            </w:tcBorders>
            <w:shd w:val="clear" w:color="auto" w:fill="auto"/>
            <w:vAlign w:val="center"/>
          </w:tcPr>
          <w:p w14:paraId="598F3218">
            <w:pPr>
              <w:spacing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(1)主要施工设备配备能满足施工要求，状态良好得</w:t>
            </w:r>
            <w:r>
              <w:rPr>
                <w:rFonts w:hint="default" w:cstheme="minorEastAsia"/>
                <w:sz w:val="24"/>
                <w:szCs w:val="24"/>
                <w:lang w:eastAsia="zh-CN"/>
              </w:rPr>
              <w:t>5</w:t>
            </w:r>
            <w:r>
              <w:rPr>
                <w:rFonts w:hint="eastAsia" w:asciiTheme="minorEastAsia" w:hAnsiTheme="minorEastAsia" w:eastAsiaTheme="minorEastAsia" w:cstheme="minorEastAsia"/>
                <w:sz w:val="24"/>
                <w:szCs w:val="24"/>
              </w:rPr>
              <w:t>分；状态一般得</w:t>
            </w:r>
            <w:r>
              <w:rPr>
                <w:rFonts w:hint="default" w:cstheme="minorEastAsia"/>
                <w:sz w:val="24"/>
                <w:szCs w:val="24"/>
              </w:rPr>
              <w:t>2</w:t>
            </w:r>
            <w:r>
              <w:rPr>
                <w:rFonts w:hint="eastAsia" w:asciiTheme="minorEastAsia" w:hAnsiTheme="minorEastAsia" w:eastAsiaTheme="minorEastAsia" w:cstheme="minorEastAsia"/>
                <w:sz w:val="24"/>
                <w:szCs w:val="24"/>
              </w:rPr>
              <w:t>分；否则得0分；</w:t>
            </w:r>
          </w:p>
          <w:p w14:paraId="3B299EB7">
            <w:pPr>
              <w:spacing w:line="312"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(2)主要工种的技术工人数量和技术水平能够充分满足施工要求得</w:t>
            </w:r>
            <w:r>
              <w:rPr>
                <w:rFonts w:hint="default" w:cstheme="minorEastAsia"/>
                <w:sz w:val="24"/>
                <w:szCs w:val="24"/>
                <w:lang w:eastAsia="zh-CN"/>
              </w:rPr>
              <w:t>5</w:t>
            </w:r>
            <w:r>
              <w:rPr>
                <w:rFonts w:hint="eastAsia" w:asciiTheme="minorEastAsia" w:hAnsiTheme="minorEastAsia" w:eastAsiaTheme="minorEastAsia" w:cstheme="minorEastAsia"/>
                <w:sz w:val="24"/>
                <w:szCs w:val="24"/>
              </w:rPr>
              <w:t>分，基本满足得</w:t>
            </w:r>
            <w:r>
              <w:rPr>
                <w:rFonts w:hint="default" w:cstheme="minorEastAsia"/>
                <w:sz w:val="24"/>
                <w:szCs w:val="24"/>
              </w:rPr>
              <w:t>2</w:t>
            </w:r>
            <w:r>
              <w:rPr>
                <w:rFonts w:hint="eastAsia" w:asciiTheme="minorEastAsia" w:hAnsiTheme="minorEastAsia" w:eastAsiaTheme="minorEastAsia" w:cstheme="minorEastAsia"/>
                <w:sz w:val="24"/>
                <w:szCs w:val="24"/>
              </w:rPr>
              <w:t>分，否则得0分。</w:t>
            </w:r>
          </w:p>
        </w:tc>
      </w:tr>
      <w:tr w14:paraId="0B6A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7D814DA7">
            <w:pPr>
              <w:autoSpaceDE w:val="0"/>
              <w:autoSpaceDN w:val="0"/>
              <w:adjustRightInd w:val="0"/>
              <w:snapToGrid w:val="0"/>
              <w:spacing w:line="312" w:lineRule="auto"/>
              <w:ind w:right="-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rPr>
              <w:t>其他主要人员</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5</w:t>
            </w:r>
            <w:r>
              <w:rPr>
                <w:rFonts w:hint="eastAsia" w:asciiTheme="minorEastAsia" w:hAnsiTheme="minorEastAsia" w:eastAsiaTheme="minorEastAsia" w:cstheme="minorEastAsia"/>
                <w:kern w:val="0"/>
                <w:szCs w:val="21"/>
              </w:rPr>
              <w:t>分）</w:t>
            </w:r>
          </w:p>
        </w:tc>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052B4AA">
            <w:pPr>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其他主要人员配备齐全，技术负责人、施工员、质量员、材料员、机械员、资料员、测量员、试验员、劳务员和标准员等岗位齐全，相应人员有职称证书或上岗证书，满足施工要求。</w:t>
            </w:r>
          </w:p>
          <w:p w14:paraId="26AEF053">
            <w:pPr>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配备8种及以上，得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分；配备6-7种，得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配备6种以下，不得分。投标文件内附相应人员职称证书或岗位证书复印件加盖投标单位公章。启用电子证书的供应商，投标文件内附电子证书的有效查询网址，信息真伪由评标专家登录其提供的有效网址或扫描二维码标识进行查询确认。同时还应</w:t>
            </w:r>
            <w:r>
              <w:rPr>
                <w:rFonts w:hint="eastAsia" w:asciiTheme="minorEastAsia" w:hAnsiTheme="minorEastAsia" w:eastAsiaTheme="minorEastAsia" w:cstheme="minorEastAsia"/>
                <w:szCs w:val="21"/>
                <w:lang w:val="zh-CN"/>
              </w:rPr>
              <w:t>附半年内任意二个月社会保险缴纳证明，退休人员需提供退休证。</w:t>
            </w:r>
          </w:p>
          <w:p w14:paraId="5139954B">
            <w:pPr>
              <w:spacing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注：相应资格信息均应满足招标文件要求，并在有效期范围内（壹级注册建造师资格有效期除外）。</w:t>
            </w:r>
          </w:p>
        </w:tc>
      </w:tr>
    </w:tbl>
    <w:p w14:paraId="4BBC5561">
      <w:pPr>
        <w:bidi w:val="0"/>
        <w:rPr>
          <w:sz w:val="24"/>
          <w:szCs w:val="24"/>
        </w:rPr>
      </w:pPr>
    </w:p>
    <w:p w14:paraId="5E6B6919">
      <w:pPr>
        <w:pStyle w:val="14"/>
        <w:rPr>
          <w:b/>
          <w:bCs/>
          <w:sz w:val="24"/>
          <w:szCs w:val="24"/>
          <w:highlight w:val="none"/>
        </w:rPr>
      </w:pPr>
      <w:r>
        <w:rPr>
          <w:rFonts w:hint="eastAsia"/>
          <w:b/>
          <w:bCs/>
          <w:sz w:val="24"/>
          <w:szCs w:val="24"/>
          <w:highlight w:val="none"/>
        </w:rPr>
        <w:t>三、价格评分标准</w:t>
      </w:r>
    </w:p>
    <w:p w14:paraId="61A56794">
      <w:pPr>
        <w:keepNext w:val="0"/>
        <w:keepLines w:val="0"/>
        <w:pageBreakBefore w:val="0"/>
        <w:kinsoku/>
        <w:wordWrap/>
        <w:overflowPunct/>
        <w:topLinePunct w:val="0"/>
        <w:bidi w:val="0"/>
        <w:adjustRightInd/>
        <w:snapToGrid/>
        <w:ind w:firstLine="480" w:firstLineChars="200"/>
        <w:textAlignment w:val="auto"/>
        <w:rPr>
          <w:rFonts w:ascii="宋体" w:hAnsi="宋体" w:cs="宋体"/>
          <w:sz w:val="24"/>
          <w:szCs w:val="24"/>
          <w:highlight w:val="none"/>
          <w:lang w:eastAsia="en-US"/>
        </w:rPr>
      </w:pPr>
      <w:r>
        <w:rPr>
          <w:rFonts w:hint="eastAsia" w:asciiTheme="minorEastAsia" w:hAnsiTheme="minorEastAsia" w:eastAsiaTheme="minorEastAsia"/>
          <w:sz w:val="24"/>
          <w:szCs w:val="24"/>
          <w:highlight w:val="none"/>
        </w:rPr>
        <w:t>1.</w:t>
      </w:r>
      <w:r>
        <w:rPr>
          <w:rFonts w:hint="eastAsia" w:ascii="宋体" w:hAnsi="宋体" w:cs="宋体"/>
          <w:sz w:val="24"/>
          <w:szCs w:val="24"/>
          <w:highlight w:val="none"/>
          <w:lang w:eastAsia="en-US"/>
        </w:rPr>
        <w:t>应答报价评分标准</w:t>
      </w:r>
    </w:p>
    <w:p w14:paraId="684EFA0B">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rPr>
      </w:pPr>
      <w:r>
        <w:rPr>
          <w:rFonts w:hint="eastAsia"/>
          <w:sz w:val="24"/>
          <w:szCs w:val="24"/>
          <w:highlight w:val="none"/>
        </w:rPr>
        <w:t>价格部分得分=100-100×n×|应答人的评审总价-基准价|/基准价（四舍五入取小数点后两位）；</w:t>
      </w:r>
    </w:p>
    <w:p w14:paraId="20F66076">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rPr>
      </w:pPr>
      <w:r>
        <w:rPr>
          <w:rFonts w:hint="eastAsia"/>
          <w:sz w:val="24"/>
          <w:szCs w:val="24"/>
          <w:highlight w:val="none"/>
        </w:rPr>
        <w:t>应答人评审价按以下方式计算得出，评审价仅供评审用，不作为成交签约的合同价（有价格修正的情况除外）：</w:t>
      </w:r>
    </w:p>
    <w:p w14:paraId="1C8DB000">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rPr>
      </w:pPr>
      <w:r>
        <w:rPr>
          <w:rFonts w:hint="eastAsia"/>
          <w:sz w:val="24"/>
          <w:szCs w:val="24"/>
          <w:highlight w:val="none"/>
        </w:rPr>
        <w:t>（1）改正算术错误；</w:t>
      </w:r>
    </w:p>
    <w:p w14:paraId="2C78CA30">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rPr>
      </w:pPr>
      <w:r>
        <w:rPr>
          <w:rFonts w:hint="eastAsia"/>
          <w:sz w:val="24"/>
          <w:szCs w:val="24"/>
          <w:highlight w:val="none"/>
        </w:rPr>
        <w:t>（2）供货范围缺漏项调整（如有）；</w:t>
      </w:r>
    </w:p>
    <w:p w14:paraId="033F6A70">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rPr>
      </w:pPr>
      <w:r>
        <w:rPr>
          <w:rFonts w:hint="eastAsia"/>
          <w:sz w:val="24"/>
          <w:szCs w:val="24"/>
          <w:highlight w:val="none"/>
        </w:rPr>
        <w:t>（</w:t>
      </w:r>
      <w:r>
        <w:rPr>
          <w:rFonts w:hint="eastAsia"/>
          <w:sz w:val="24"/>
          <w:szCs w:val="24"/>
          <w:highlight w:val="none"/>
          <w:lang w:val="en-US"/>
        </w:rPr>
        <w:t>3</w:t>
      </w:r>
      <w:r>
        <w:rPr>
          <w:rFonts w:hint="eastAsia"/>
          <w:sz w:val="24"/>
          <w:szCs w:val="24"/>
          <w:highlight w:val="none"/>
        </w:rPr>
        <w:t>）评审因素（如有）。</w:t>
      </w:r>
    </w:p>
    <w:p w14:paraId="725F0295">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lang w:val="en-US"/>
        </w:rPr>
      </w:pPr>
      <w:r>
        <w:rPr>
          <w:rFonts w:hint="eastAsia"/>
          <w:sz w:val="24"/>
          <w:szCs w:val="24"/>
          <w:highlight w:val="none"/>
          <w:lang w:val="en-US"/>
        </w:rPr>
        <w:t>当应答人的评审总价&gt;=基准价，n=n1；</w:t>
      </w:r>
    </w:p>
    <w:p w14:paraId="0B1AB937">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lang w:val="en-US"/>
        </w:rPr>
      </w:pPr>
      <w:r>
        <w:rPr>
          <w:rFonts w:hint="eastAsia"/>
          <w:sz w:val="24"/>
          <w:szCs w:val="24"/>
          <w:highlight w:val="none"/>
          <w:lang w:val="en-US"/>
        </w:rPr>
        <w:t>当应答人的评审总价&lt;基准价，n=n2；</w:t>
      </w:r>
    </w:p>
    <w:p w14:paraId="06F00AF2">
      <w:pPr>
        <w:pStyle w:val="22"/>
        <w:keepNext w:val="0"/>
        <w:keepLines w:val="0"/>
        <w:pageBreakBefore w:val="0"/>
        <w:kinsoku/>
        <w:wordWrap/>
        <w:overflowPunct/>
        <w:topLinePunct w:val="0"/>
        <w:bidi w:val="0"/>
        <w:adjustRightInd/>
        <w:snapToGrid/>
        <w:ind w:firstLine="480" w:firstLineChars="200"/>
        <w:textAlignment w:val="auto"/>
        <w:rPr>
          <w:sz w:val="24"/>
          <w:szCs w:val="24"/>
          <w:highlight w:val="none"/>
          <w:lang w:val="en-US"/>
        </w:rPr>
      </w:pPr>
      <w:r>
        <w:rPr>
          <w:rFonts w:hint="eastAsia"/>
          <w:sz w:val="24"/>
          <w:szCs w:val="24"/>
          <w:highlight w:val="none"/>
          <w:lang w:val="en-US"/>
        </w:rPr>
        <w:t>当计算出的价格部分得分&lt;0，按0分计。</w:t>
      </w:r>
    </w:p>
    <w:p w14:paraId="15D34381">
      <w:pPr>
        <w:pStyle w:val="14"/>
        <w:keepNext w:val="0"/>
        <w:keepLines w:val="0"/>
        <w:pageBreakBefore w:val="0"/>
        <w:kinsoku/>
        <w:wordWrap/>
        <w:overflowPunct/>
        <w:topLinePunct w:val="0"/>
        <w:bidi w:val="0"/>
        <w:adjustRightInd/>
        <w:snapToGrid/>
        <w:spacing w:after="0"/>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n1=1，n2=1</w:t>
      </w:r>
    </w:p>
    <w:p w14:paraId="539DCFC5">
      <w:pPr>
        <w:pStyle w:val="14"/>
        <w:keepNext w:val="0"/>
        <w:keepLines w:val="0"/>
        <w:pageBreakBefore w:val="0"/>
        <w:kinsoku/>
        <w:wordWrap/>
        <w:overflowPunct/>
        <w:topLinePunct w:val="0"/>
        <w:bidi w:val="0"/>
        <w:adjustRightInd/>
        <w:snapToGrid/>
        <w:spacing w:after="0"/>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2.评审基准价计算方法</w:t>
      </w:r>
    </w:p>
    <w:p w14:paraId="5F6BE586">
      <w:pPr>
        <w:pStyle w:val="14"/>
        <w:rPr>
          <w:rFonts w:hint="default"/>
        </w:rPr>
      </w:pPr>
      <w:r>
        <w:rPr>
          <w:rFonts w:hint="default"/>
        </w:rPr>
        <w:t>以所有应答人的有效报价中最低报价作为评标基准价。</w:t>
      </w:r>
    </w:p>
    <w:p w14:paraId="4082C9ED">
      <w:pPr>
        <w:rPr>
          <w:rFonts w:eastAsia="黑体"/>
          <w:b/>
          <w:color w:val="000000" w:themeColor="text1"/>
          <w:sz w:val="24"/>
          <w:highlight w:val="none"/>
          <w14:textFill>
            <w14:solidFill>
              <w14:schemeClr w14:val="tx1"/>
            </w14:solidFill>
          </w14:textFill>
        </w:rPr>
      </w:pPr>
      <w:bookmarkStart w:id="23" w:name="_Toc28263"/>
      <w:bookmarkStart w:id="24" w:name="_Toc62566147"/>
      <w:bookmarkStart w:id="25" w:name="_Toc28736"/>
      <w:r>
        <w:rPr>
          <w:rFonts w:hint="eastAsia" w:eastAsia="黑体"/>
          <w:b/>
          <w:color w:val="000000" w:themeColor="text1"/>
          <w:sz w:val="24"/>
          <w:highlight w:val="none"/>
          <w14:textFill>
            <w14:solidFill>
              <w14:schemeClr w14:val="tx1"/>
            </w14:solidFill>
          </w14:textFill>
        </w:rPr>
        <w:br w:type="page"/>
      </w:r>
    </w:p>
    <w:p w14:paraId="6BD2B9C0">
      <w:pPr>
        <w:numPr>
          <w:ilvl w:val="0"/>
          <w:numId w:val="2"/>
        </w:numPr>
        <w:adjustRightInd w:val="0"/>
        <w:snapToGrid w:val="0"/>
        <w:spacing w:before="317" w:beforeLines="100" w:after="158" w:afterLines="50" w:line="400" w:lineRule="exact"/>
        <w:ind w:firstLine="482" w:firstLineChars="0"/>
        <w:outlineLvl w:val="1"/>
        <w:rPr>
          <w:rFonts w:eastAsia="黑体"/>
          <w:b/>
          <w:color w:val="000000" w:themeColor="text1"/>
          <w:sz w:val="24"/>
          <w:highlight w:val="none"/>
          <w14:textFill>
            <w14:solidFill>
              <w14:schemeClr w14:val="tx1"/>
            </w14:solidFill>
          </w14:textFill>
        </w:rPr>
      </w:pPr>
      <w:r>
        <w:rPr>
          <w:rFonts w:hint="eastAsia" w:eastAsia="黑体"/>
          <w:b/>
          <w:color w:val="000000" w:themeColor="text1"/>
          <w:sz w:val="24"/>
          <w:highlight w:val="none"/>
          <w14:textFill>
            <w14:solidFill>
              <w14:schemeClr w14:val="tx1"/>
            </w14:solidFill>
          </w14:textFill>
        </w:rPr>
        <w:t>总则</w:t>
      </w:r>
      <w:bookmarkEnd w:id="23"/>
      <w:bookmarkEnd w:id="24"/>
      <w:bookmarkEnd w:id="25"/>
    </w:p>
    <w:p w14:paraId="44BDB563">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26" w:name="_Toc62566148"/>
      <w:r>
        <w:rPr>
          <w:rFonts w:hint="eastAsia" w:ascii="黑体" w:hAnsi="黑体" w:eastAsia="黑体"/>
          <w:b/>
          <w:color w:val="000000" w:themeColor="text1"/>
          <w:highlight w:val="none"/>
          <w14:textFill>
            <w14:solidFill>
              <w14:schemeClr w14:val="tx1"/>
            </w14:solidFill>
          </w14:textFill>
        </w:rPr>
        <w:t>1.1 项目概况</w:t>
      </w:r>
      <w:bookmarkEnd w:id="26"/>
    </w:p>
    <w:p w14:paraId="4C7A3F8B">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参照《中华人民共和国招标投标法》和《中华人民共和国招标投标法实施条例》和《电子招标投标办法》等有关法律、法规和规章的规定，本采购项目已具备采购条件，现对该项目进行采购。</w:t>
      </w:r>
    </w:p>
    <w:p w14:paraId="78298E4F">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27" w:name="_Toc62566149"/>
      <w:r>
        <w:rPr>
          <w:rFonts w:hint="eastAsia" w:ascii="黑体" w:hAnsi="黑体" w:eastAsia="黑体"/>
          <w:b/>
          <w:color w:val="000000" w:themeColor="text1"/>
          <w:highlight w:val="none"/>
          <w14:textFill>
            <w14:solidFill>
              <w14:schemeClr w14:val="tx1"/>
            </w14:solidFill>
          </w14:textFill>
        </w:rPr>
        <w:t>1.2 资金来源和落实情况</w:t>
      </w:r>
      <w:bookmarkEnd w:id="27"/>
    </w:p>
    <w:p w14:paraId="0624087D">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1.2.1资金来源：见采购公告。</w:t>
      </w:r>
    </w:p>
    <w:p w14:paraId="21411607">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1.2.2资金落实情况：</w:t>
      </w:r>
      <w:r>
        <w:rPr>
          <w:rFonts w:hint="eastAsia" w:ascii="宋体" w:hAnsi="宋体"/>
          <w:color w:val="000000" w:themeColor="text1"/>
          <w:szCs w:val="21"/>
          <w:highlight w:val="none"/>
          <w14:textFill>
            <w14:solidFill>
              <w14:schemeClr w14:val="tx1"/>
            </w14:solidFill>
          </w14:textFill>
        </w:rPr>
        <w:t>已落实</w:t>
      </w:r>
      <w:r>
        <w:rPr>
          <w:rFonts w:hint="eastAsia" w:ascii="宋体" w:hAnsi="宋体"/>
          <w:color w:val="000000" w:themeColor="text1"/>
          <w:highlight w:val="none"/>
          <w14:textFill>
            <w14:solidFill>
              <w14:schemeClr w14:val="tx1"/>
            </w14:solidFill>
          </w14:textFill>
        </w:rPr>
        <w:t>。</w:t>
      </w:r>
    </w:p>
    <w:p w14:paraId="52C4C839">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28" w:name="_Toc62566150"/>
      <w:r>
        <w:rPr>
          <w:rFonts w:hint="eastAsia" w:ascii="黑体" w:hAnsi="黑体" w:eastAsia="黑体"/>
          <w:b/>
          <w:color w:val="000000" w:themeColor="text1"/>
          <w:highlight w:val="none"/>
          <w14:textFill>
            <w14:solidFill>
              <w14:schemeClr w14:val="tx1"/>
            </w14:solidFill>
          </w14:textFill>
        </w:rPr>
        <w:t>1.3 费用承担</w:t>
      </w:r>
      <w:bookmarkEnd w:id="28"/>
    </w:p>
    <w:p w14:paraId="5F2D78D7">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应答人准备和参加应答活动发生的费用自理。</w:t>
      </w:r>
    </w:p>
    <w:p w14:paraId="1A4B822A">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29" w:name="_Toc62566151"/>
      <w:r>
        <w:rPr>
          <w:rFonts w:hint="eastAsia" w:ascii="黑体" w:hAnsi="黑体" w:eastAsia="黑体"/>
          <w:b/>
          <w:color w:val="000000" w:themeColor="text1"/>
          <w:highlight w:val="none"/>
          <w14:textFill>
            <w14:solidFill>
              <w14:schemeClr w14:val="tx1"/>
            </w14:solidFill>
          </w14:textFill>
        </w:rPr>
        <w:t>1.4 信息不透露</w:t>
      </w:r>
      <w:bookmarkEnd w:id="29"/>
    </w:p>
    <w:p w14:paraId="3BFC2767">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参与应答活动的各方对采购文件和应答文件中的商业和技术等未公开发布知识产权信息，未经相应权属人同意，不得对外透露，违者应对此造成的后果承担法律责任。</w:t>
      </w:r>
    </w:p>
    <w:p w14:paraId="23A4BB6E">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30" w:name="_Toc62566152"/>
      <w:r>
        <w:rPr>
          <w:rFonts w:hint="eastAsia" w:ascii="黑体" w:hAnsi="黑体" w:eastAsia="黑体"/>
          <w:b/>
          <w:color w:val="000000" w:themeColor="text1"/>
          <w:highlight w:val="none"/>
          <w14:textFill>
            <w14:solidFill>
              <w14:schemeClr w14:val="tx1"/>
            </w14:solidFill>
          </w14:textFill>
        </w:rPr>
        <w:t>1.5 语言文字</w:t>
      </w:r>
      <w:bookmarkEnd w:id="30"/>
    </w:p>
    <w:p w14:paraId="014174B9">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除专用术语外，与招标采购有关的语言均使用中文</w:t>
      </w:r>
      <w:r>
        <w:rPr>
          <w:rFonts w:hint="eastAsia" w:ascii="宋体" w:hAnsi="宋体" w:cs="宋体"/>
          <w:color w:val="000000" w:themeColor="text1"/>
          <w:highlight w:val="none"/>
          <w14:textFill>
            <w14:solidFill>
              <w14:schemeClr w14:val="tx1"/>
            </w14:solidFill>
          </w14:textFill>
        </w:rPr>
        <w:t>，采用中文以外的语言编制的文件，应附中文翻译文件，未附中文翻译文件的，该采用中文以外的语言编制的文件被视为无效文件</w:t>
      </w:r>
      <w:r>
        <w:rPr>
          <w:rFonts w:hint="eastAsia" w:ascii="宋体" w:hAnsi="宋体"/>
          <w:color w:val="000000" w:themeColor="text1"/>
          <w:highlight w:val="none"/>
          <w14:textFill>
            <w14:solidFill>
              <w14:schemeClr w14:val="tx1"/>
            </w14:solidFill>
          </w14:textFill>
        </w:rPr>
        <w:t>。必要时专用术语应附有中文解释。</w:t>
      </w:r>
    </w:p>
    <w:p w14:paraId="311469DB">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31" w:name="_Toc62566153"/>
      <w:r>
        <w:rPr>
          <w:rFonts w:hint="eastAsia" w:ascii="黑体" w:hAnsi="黑体" w:eastAsia="黑体"/>
          <w:b/>
          <w:color w:val="000000" w:themeColor="text1"/>
          <w:highlight w:val="none"/>
          <w14:textFill>
            <w14:solidFill>
              <w14:schemeClr w14:val="tx1"/>
            </w14:solidFill>
          </w14:textFill>
        </w:rPr>
        <w:t>1.6 计量单位</w:t>
      </w:r>
      <w:bookmarkEnd w:id="31"/>
    </w:p>
    <w:p w14:paraId="7F996D46">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所有计量均采用中华人民共和国法定计量单位。</w:t>
      </w:r>
    </w:p>
    <w:p w14:paraId="1B1E7404">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32" w:name="_Toc62566155"/>
      <w:r>
        <w:rPr>
          <w:rFonts w:hint="eastAsia" w:ascii="黑体" w:hAnsi="黑体" w:eastAsia="黑体"/>
          <w:b/>
          <w:color w:val="000000" w:themeColor="text1"/>
          <w:highlight w:val="none"/>
          <w14:textFill>
            <w14:solidFill>
              <w14:schemeClr w14:val="tx1"/>
            </w14:solidFill>
          </w14:textFill>
        </w:rPr>
        <w:t>1.7 偏离</w:t>
      </w:r>
      <w:bookmarkEnd w:id="32"/>
    </w:p>
    <w:p w14:paraId="6753D880">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不得出现本章6.5条规定的否决应答内容。应答人针对采购文件提出的偏离应填写在采购文件第五章“应答文件格式”规定的偏差表中。对于应答人提出的但未在应答文件偏差表列明的偏离部分，采购人将视为应答人未提出该偏离。</w:t>
      </w:r>
    </w:p>
    <w:p w14:paraId="5FCB1FF2">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33" w:name="_Toc62566156"/>
      <w:r>
        <w:rPr>
          <w:rFonts w:hint="eastAsia" w:ascii="黑体" w:hAnsi="黑体" w:eastAsia="黑体"/>
          <w:b/>
          <w:color w:val="000000" w:themeColor="text1"/>
          <w:highlight w:val="none"/>
          <w14:textFill>
            <w14:solidFill>
              <w14:schemeClr w14:val="tx1"/>
            </w14:solidFill>
          </w14:textFill>
        </w:rPr>
        <w:t>1.8分包</w:t>
      </w:r>
      <w:bookmarkEnd w:id="33"/>
    </w:p>
    <w:p w14:paraId="782A6F2E">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应答人拟在成交后将成交项目中的部分工作进行分包的，应符合应答人须知前附表规定的内容和接受分包的第三人资质要求等限制性条件。</w:t>
      </w:r>
    </w:p>
    <w:p w14:paraId="5B45FF27">
      <w:pPr>
        <w:numPr>
          <w:ilvl w:val="0"/>
          <w:numId w:val="2"/>
        </w:numPr>
        <w:adjustRightInd w:val="0"/>
        <w:snapToGrid w:val="0"/>
        <w:spacing w:before="317" w:beforeLines="100" w:after="158" w:afterLines="50" w:line="400" w:lineRule="exact"/>
        <w:ind w:firstLine="482" w:firstLineChars="0"/>
        <w:outlineLvl w:val="1"/>
        <w:rPr>
          <w:rFonts w:eastAsia="黑体"/>
          <w:b/>
          <w:color w:val="000000" w:themeColor="text1"/>
          <w:sz w:val="24"/>
          <w:highlight w:val="none"/>
          <w14:textFill>
            <w14:solidFill>
              <w14:schemeClr w14:val="tx1"/>
            </w14:solidFill>
          </w14:textFill>
        </w:rPr>
      </w:pPr>
      <w:bookmarkStart w:id="34" w:name="_Toc15433"/>
      <w:bookmarkStart w:id="35" w:name="_Toc62566157"/>
      <w:bookmarkStart w:id="36" w:name="_Toc27522"/>
      <w:r>
        <w:rPr>
          <w:rFonts w:hint="eastAsia" w:eastAsia="黑体"/>
          <w:b/>
          <w:color w:val="000000" w:themeColor="text1"/>
          <w:sz w:val="24"/>
          <w:highlight w:val="none"/>
          <w14:textFill>
            <w14:solidFill>
              <w14:schemeClr w14:val="tx1"/>
            </w14:solidFill>
          </w14:textFill>
        </w:rPr>
        <w:t>采购文件</w:t>
      </w:r>
      <w:bookmarkEnd w:id="34"/>
      <w:bookmarkEnd w:id="35"/>
      <w:bookmarkEnd w:id="36"/>
    </w:p>
    <w:p w14:paraId="7FD1A63E">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37" w:name="_Toc62566158"/>
      <w:r>
        <w:rPr>
          <w:rFonts w:hint="eastAsia" w:ascii="黑体" w:hAnsi="黑体" w:eastAsia="黑体"/>
          <w:b/>
          <w:color w:val="000000" w:themeColor="text1"/>
          <w:highlight w:val="none"/>
          <w14:textFill>
            <w14:solidFill>
              <w14:schemeClr w14:val="tx1"/>
            </w14:solidFill>
          </w14:textFill>
        </w:rPr>
        <w:t>2.1 采购文件的组成</w:t>
      </w:r>
      <w:bookmarkEnd w:id="37"/>
    </w:p>
    <w:p w14:paraId="55AE1003">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本采购文件包括：</w:t>
      </w:r>
    </w:p>
    <w:p w14:paraId="5D645AC0">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第一章采购公告；</w:t>
      </w:r>
    </w:p>
    <w:p w14:paraId="20C690BF">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第二章应答人须知；</w:t>
      </w:r>
    </w:p>
    <w:p w14:paraId="3FADFD7D">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第三章合同条款；</w:t>
      </w:r>
    </w:p>
    <w:p w14:paraId="3DE06BF7">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w:t>
      </w:r>
      <w:r>
        <w:rPr>
          <w:rFonts w:hint="default"/>
          <w:color w:val="000000" w:themeColor="text1"/>
          <w:highlight w:val="none"/>
          <w14:textFill>
            <w14:solidFill>
              <w14:schemeClr w14:val="tx1"/>
            </w14:solidFill>
          </w14:textFill>
        </w:rPr>
        <w:t>四</w:t>
      </w:r>
      <w:r>
        <w:rPr>
          <w:rFonts w:hint="eastAsia"/>
          <w:color w:val="000000" w:themeColor="text1"/>
          <w:highlight w:val="none"/>
          <w14:textFill>
            <w14:solidFill>
              <w14:schemeClr w14:val="tx1"/>
            </w14:solidFill>
          </w14:textFill>
        </w:rPr>
        <w:t>章</w:t>
      </w:r>
      <w:r>
        <w:rPr>
          <w:rFonts w:hint="default"/>
          <w:color w:val="000000" w:themeColor="text1"/>
          <w:highlight w:val="none"/>
          <w14:textFill>
            <w14:solidFill>
              <w14:schemeClr w14:val="tx1"/>
            </w14:solidFill>
          </w14:textFill>
        </w:rPr>
        <w:t>工程量清单</w:t>
      </w:r>
      <w:r>
        <w:rPr>
          <w:rFonts w:hint="eastAsia"/>
          <w:color w:val="000000" w:themeColor="text1"/>
          <w:highlight w:val="none"/>
          <w14:textFill>
            <w14:solidFill>
              <w14:schemeClr w14:val="tx1"/>
            </w14:solidFill>
          </w14:textFill>
        </w:rPr>
        <w:t>；</w:t>
      </w:r>
    </w:p>
    <w:p w14:paraId="115C3541">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w:t>
      </w:r>
      <w:r>
        <w:rPr>
          <w:rFonts w:hint="default"/>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章</w:t>
      </w:r>
      <w:r>
        <w:rPr>
          <w:rFonts w:hint="default"/>
          <w:color w:val="000000" w:themeColor="text1"/>
          <w:highlight w:val="none"/>
          <w14:textFill>
            <w14:solidFill>
              <w14:schemeClr w14:val="tx1"/>
            </w14:solidFill>
          </w14:textFill>
        </w:rPr>
        <w:t>采购标准和要求</w:t>
      </w:r>
      <w:r>
        <w:rPr>
          <w:rFonts w:hint="eastAsia"/>
          <w:color w:val="000000" w:themeColor="text1"/>
          <w:highlight w:val="none"/>
          <w14:textFill>
            <w14:solidFill>
              <w14:schemeClr w14:val="tx1"/>
            </w14:solidFill>
          </w14:textFill>
        </w:rPr>
        <w:t>；</w:t>
      </w:r>
    </w:p>
    <w:p w14:paraId="0C0D4B3B">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w:t>
      </w:r>
      <w:r>
        <w:rPr>
          <w:rFonts w:hint="default"/>
          <w:color w:val="000000" w:themeColor="text1"/>
          <w:highlight w:val="none"/>
          <w14:textFill>
            <w14:solidFill>
              <w14:schemeClr w14:val="tx1"/>
            </w14:solidFill>
          </w14:textFill>
        </w:rPr>
        <w:t>六</w:t>
      </w:r>
      <w:r>
        <w:rPr>
          <w:rFonts w:hint="eastAsia"/>
          <w:color w:val="000000" w:themeColor="text1"/>
          <w:highlight w:val="none"/>
          <w14:textFill>
            <w14:solidFill>
              <w14:schemeClr w14:val="tx1"/>
            </w14:solidFill>
          </w14:textFill>
        </w:rPr>
        <w:t>章应答文件格式。</w:t>
      </w:r>
    </w:p>
    <w:p w14:paraId="40F14965">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根据本章第1.7款、第2.2款和第2.3款对采购文件所作的澄清、修改，构成采购文件的组成部分。</w:t>
      </w:r>
    </w:p>
    <w:p w14:paraId="1E638C34">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应答人应详细阅读采购文件，并按采购文件要求提交全部应答文件。如应答人无特殊声明，则视为应答人已全部理解并接受采购文件规定的条款。</w:t>
      </w:r>
    </w:p>
    <w:p w14:paraId="2B358CD1">
      <w:pPr>
        <w:adjustRightInd w:val="0"/>
        <w:snapToGrid w:val="0"/>
        <w:spacing w:line="400" w:lineRule="exact"/>
        <w:ind w:firstLine="420"/>
        <w:rPr>
          <w:rFonts w:ascii="宋体" w:hAnsi="宋体"/>
          <w:b/>
          <w:bCs/>
          <w:highlight w:val="none"/>
        </w:rPr>
      </w:pPr>
      <w:r>
        <w:rPr>
          <w:rFonts w:hint="eastAsia" w:ascii="宋体" w:hAnsi="宋体"/>
          <w:b/>
          <w:bCs/>
          <w:highlight w:val="none"/>
        </w:rPr>
        <w:t>如采购文件中商务部分与技术部分中的内容有差异，技术指标以技术部分为准，项目实施期限/计划工期、应答人资格、业绩要求、质保期以商务部分为准。如</w:t>
      </w:r>
      <w:r>
        <w:rPr>
          <w:rFonts w:hint="default" w:ascii="宋体" w:hAnsi="宋体"/>
          <w:b/>
          <w:bCs/>
          <w:highlight w:val="none"/>
        </w:rPr>
        <w:t>采购标准和要求</w:t>
      </w:r>
      <w:r>
        <w:rPr>
          <w:rFonts w:hint="eastAsia" w:ascii="宋体" w:hAnsi="宋体"/>
          <w:b/>
          <w:bCs/>
          <w:highlight w:val="none"/>
        </w:rPr>
        <w:t>中的采购数量及主要技术参数与商务部分的服务清单有差异，以商务部分的服务清单为准。</w:t>
      </w:r>
    </w:p>
    <w:p w14:paraId="4A9A063B">
      <w:pPr>
        <w:adjustRightInd w:val="0"/>
        <w:snapToGrid w:val="0"/>
        <w:spacing w:line="400" w:lineRule="exact"/>
        <w:ind w:firstLine="482" w:firstLineChars="200"/>
        <w:outlineLvl w:val="2"/>
        <w:rPr>
          <w:rFonts w:hint="eastAsia" w:ascii="黑体" w:hAnsi="黑体" w:eastAsia="黑体"/>
          <w:b/>
          <w:color w:val="000000" w:themeColor="text1"/>
          <w:highlight w:val="none"/>
          <w14:textFill>
            <w14:solidFill>
              <w14:schemeClr w14:val="tx1"/>
            </w14:solidFill>
          </w14:textFill>
        </w:rPr>
      </w:pPr>
      <w:bookmarkStart w:id="38" w:name="_Toc62566159"/>
      <w:r>
        <w:rPr>
          <w:rFonts w:hint="eastAsia" w:ascii="黑体" w:hAnsi="黑体" w:eastAsia="黑体"/>
          <w:b/>
          <w:color w:val="000000" w:themeColor="text1"/>
          <w:highlight w:val="none"/>
          <w14:textFill>
            <w14:solidFill>
              <w14:schemeClr w14:val="tx1"/>
            </w14:solidFill>
          </w14:textFill>
        </w:rPr>
        <w:t>2.2 采购文件的澄清</w:t>
      </w:r>
      <w:bookmarkEnd w:id="38"/>
    </w:p>
    <w:p w14:paraId="4B756959">
      <w:pPr>
        <w:pStyle w:val="25"/>
        <w:tabs>
          <w:tab w:val="left" w:pos="993"/>
        </w:tabs>
        <w:adjustRightInd w:val="0"/>
        <w:snapToGrid w:val="0"/>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2.2.1应答人应仔细阅读和检查采购文件的全部内容。如发现缺页或者附件不全，应及时向采购人提出</w:t>
      </w:r>
      <w:r>
        <w:rPr>
          <w:rFonts w:hint="eastAsia" w:ascii="宋体" w:hAnsi="宋体" w:cs="宋体"/>
          <w:color w:val="000000" w:themeColor="text1"/>
          <w:szCs w:val="21"/>
          <w:highlight w:val="none"/>
          <w14:textFill>
            <w14:solidFill>
              <w14:schemeClr w14:val="tx1"/>
            </w14:solidFill>
          </w14:textFill>
        </w:rPr>
        <w:t>，以便补齐。如有疑问，应</w:t>
      </w:r>
      <w:r>
        <w:rPr>
          <w:rFonts w:hint="eastAsia" w:ascii="宋体" w:hAnsi="宋体" w:cs="宋体"/>
          <w:color w:val="000000" w:themeColor="text1"/>
          <w:highlight w:val="none"/>
          <w14:textFill>
            <w14:solidFill>
              <w14:schemeClr w14:val="tx1"/>
            </w14:solidFill>
          </w14:textFill>
        </w:rPr>
        <w:t>在采购文件规定的</w:t>
      </w:r>
      <w:r>
        <w:rPr>
          <w:rFonts w:hint="default" w:ascii="宋体" w:hAnsi="宋体" w:cs="宋体"/>
          <w:color w:val="000000" w:themeColor="text1"/>
          <w:highlight w:val="none"/>
          <w14:textFill>
            <w14:solidFill>
              <w14:schemeClr w14:val="tx1"/>
            </w14:solidFill>
          </w14:textFill>
        </w:rPr>
        <w:t>应答</w:t>
      </w:r>
      <w:r>
        <w:rPr>
          <w:rFonts w:hint="eastAsia" w:ascii="宋体" w:hAnsi="宋体" w:cs="宋体"/>
          <w:color w:val="000000" w:themeColor="text1"/>
          <w:highlight w:val="none"/>
          <w14:textFill>
            <w14:solidFill>
              <w14:schemeClr w14:val="tx1"/>
            </w14:solidFill>
          </w14:textFill>
        </w:rPr>
        <w:t>截止时间4日前</w:t>
      </w:r>
      <w:r>
        <w:rPr>
          <w:rFonts w:hint="eastAsia" w:ascii="宋体" w:hAnsi="宋体" w:cs="宋体"/>
          <w:color w:val="000000" w:themeColor="text1"/>
          <w:szCs w:val="21"/>
          <w:highlight w:val="none"/>
          <w14:textFill>
            <w14:solidFill>
              <w14:schemeClr w14:val="tx1"/>
            </w14:solidFill>
          </w14:textFill>
        </w:rPr>
        <w:t>提出</w:t>
      </w:r>
      <w:r>
        <w:rPr>
          <w:rFonts w:hint="eastAsia" w:ascii="宋体" w:hAnsi="宋体" w:cs="宋体"/>
          <w:color w:val="000000" w:themeColor="text1"/>
          <w:kern w:val="0"/>
          <w:szCs w:val="21"/>
          <w:highlight w:val="none"/>
          <w14:textFill>
            <w14:solidFill>
              <w14:schemeClr w14:val="tx1"/>
            </w14:solidFill>
          </w14:textFill>
        </w:rPr>
        <w:t>并上传至</w:t>
      </w:r>
      <w:r>
        <w:rPr>
          <w:rFonts w:hint="eastAsia" w:ascii="宋体" w:hAnsi="宋体" w:cs="宋体"/>
          <w:color w:val="000000" w:themeColor="text1"/>
          <w:kern w:val="0"/>
          <w:szCs w:val="21"/>
          <w:highlight w:val="none"/>
          <w:lang w:eastAsia="zh-CN"/>
          <w14:textFill>
            <w14:solidFill>
              <w14:schemeClr w14:val="tx1"/>
            </w14:solidFill>
          </w14:textFill>
        </w:rPr>
        <w:t>招标人招投标交易平台信息系统</w:t>
      </w:r>
      <w:r>
        <w:rPr>
          <w:rFonts w:hint="eastAsia" w:ascii="宋体" w:hAnsi="宋体" w:cs="宋体"/>
          <w:color w:val="000000" w:themeColor="text1"/>
          <w:kern w:val="0"/>
          <w:szCs w:val="21"/>
          <w:highlight w:val="none"/>
          <w14:textFill>
            <w14:solidFill>
              <w14:schemeClr w14:val="tx1"/>
            </w14:solidFill>
          </w14:textFill>
        </w:rPr>
        <w:t>相应位置的澄清函</w:t>
      </w:r>
      <w:r>
        <w:rPr>
          <w:rFonts w:hint="eastAsia" w:ascii="宋体" w:hAnsi="宋体" w:cs="宋体"/>
          <w:color w:val="000000" w:themeColor="text1"/>
          <w:highlight w:val="none"/>
          <w14:textFill>
            <w14:solidFill>
              <w14:schemeClr w14:val="tx1"/>
            </w14:solidFill>
          </w14:textFill>
        </w:rPr>
        <w:t>，要求采购人予以澄清</w:t>
      </w:r>
      <w:r>
        <w:rPr>
          <w:rFonts w:hint="eastAsia" w:ascii="宋体" w:hAnsi="宋体" w:cs="宋体"/>
          <w:color w:val="000000" w:themeColor="text1"/>
          <w:kern w:val="0"/>
          <w:szCs w:val="21"/>
          <w:highlight w:val="none"/>
          <w14:textFill>
            <w14:solidFill>
              <w14:schemeClr w14:val="tx1"/>
            </w14:solidFill>
          </w14:textFill>
        </w:rPr>
        <w:t>。</w:t>
      </w:r>
    </w:p>
    <w:p w14:paraId="0223A1E1">
      <w:pPr>
        <w:adjustRightInd w:val="0"/>
        <w:snapToGrid w:val="0"/>
        <w:spacing w:line="4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2.2.2采购人针对2.2.1情况作出的澄清，将在采购文件规定的</w:t>
      </w:r>
      <w:r>
        <w:rPr>
          <w:rFonts w:hint="default" w:ascii="宋体" w:hAnsi="宋体" w:cs="宋体"/>
          <w:color w:val="000000" w:themeColor="text1"/>
          <w:highlight w:val="none"/>
          <w14:textFill>
            <w14:solidFill>
              <w14:schemeClr w14:val="tx1"/>
            </w14:solidFill>
          </w14:textFill>
        </w:rPr>
        <w:t>应答</w:t>
      </w:r>
      <w:r>
        <w:rPr>
          <w:rFonts w:hint="eastAsia" w:ascii="宋体" w:hAnsi="宋体" w:cs="宋体"/>
          <w:color w:val="000000" w:themeColor="text1"/>
          <w:highlight w:val="none"/>
          <w14:textFill>
            <w14:solidFill>
              <w14:schemeClr w14:val="tx1"/>
            </w14:solidFill>
          </w14:textFill>
        </w:rPr>
        <w:t>截止时间4日前在</w:t>
      </w:r>
      <w:r>
        <w:rPr>
          <w:rFonts w:hint="eastAsia" w:ascii="宋体" w:hAnsi="宋体" w:cs="宋体"/>
          <w:color w:val="000000" w:themeColor="text1"/>
          <w:highlight w:val="none"/>
          <w:lang w:eastAsia="zh-CN"/>
          <w14:textFill>
            <w14:solidFill>
              <w14:schemeClr w14:val="tx1"/>
            </w14:solidFill>
          </w14:textFill>
        </w:rPr>
        <w:t>招标人</w:t>
      </w:r>
      <w:r>
        <w:rPr>
          <w:rFonts w:hint="default" w:ascii="宋体" w:hAnsi="宋体" w:cs="宋体"/>
          <w:color w:val="000000" w:themeColor="text1"/>
          <w:highlight w:val="none"/>
          <w:lang w:eastAsia="zh-CN"/>
          <w14:textFill>
            <w14:solidFill>
              <w14:schemeClr w14:val="tx1"/>
            </w14:solidFill>
          </w14:textFill>
        </w:rPr>
        <w:t>网站上发布澄清通知</w:t>
      </w:r>
      <w:r>
        <w:rPr>
          <w:rFonts w:hint="eastAsia" w:ascii="宋体" w:hAnsi="宋体" w:cs="宋体"/>
          <w:color w:val="000000" w:themeColor="text1"/>
          <w:highlight w:val="none"/>
          <w14:textFill>
            <w14:solidFill>
              <w14:schemeClr w14:val="tx1"/>
            </w14:solidFill>
          </w14:textFill>
        </w:rPr>
        <w:t>，但不指明澄清问题的来源。</w:t>
      </w:r>
    </w:p>
    <w:p w14:paraId="39D45EE4">
      <w:pPr>
        <w:adjustRightInd w:val="0"/>
        <w:snapToGrid w:val="0"/>
        <w:spacing w:line="4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2.2.3应答人应在</w:t>
      </w:r>
      <w:r>
        <w:rPr>
          <w:rFonts w:hint="eastAsia" w:ascii="宋体" w:hAnsi="宋体" w:cs="宋体"/>
          <w:color w:val="000000" w:themeColor="text1"/>
          <w:kern w:val="0"/>
          <w:szCs w:val="21"/>
          <w:highlight w:val="none"/>
          <w14:textFill>
            <w14:solidFill>
              <w14:schemeClr w14:val="tx1"/>
            </w14:solidFill>
          </w14:textFill>
        </w:rPr>
        <w:t>收到澄清后24小时内</w:t>
      </w:r>
      <w:r>
        <w:rPr>
          <w:rFonts w:hint="default" w:ascii="宋体" w:hAnsi="宋体" w:cs="宋体"/>
          <w:color w:val="000000" w:themeColor="text1"/>
          <w:kern w:val="0"/>
          <w:szCs w:val="21"/>
          <w:highlight w:val="none"/>
          <w14:textFill>
            <w14:solidFill>
              <w14:schemeClr w14:val="tx1"/>
            </w14:solidFill>
          </w14:textFill>
        </w:rPr>
        <w:t>回复加盖公章的电子版确认单（格式自拟）</w:t>
      </w:r>
      <w:r>
        <w:rPr>
          <w:rFonts w:hint="eastAsia" w:ascii="宋体" w:hAnsi="宋体" w:cs="宋体"/>
          <w:color w:val="000000" w:themeColor="text1"/>
          <w:highlight w:val="none"/>
          <w14:textFill>
            <w14:solidFill>
              <w14:schemeClr w14:val="tx1"/>
            </w14:solidFill>
          </w14:textFill>
        </w:rPr>
        <w:t>进行确认</w:t>
      </w:r>
      <w:r>
        <w:rPr>
          <w:rFonts w:hint="eastAsia" w:ascii="宋体" w:hAnsi="宋体" w:cs="宋体"/>
          <w:color w:val="000000" w:themeColor="text1"/>
          <w:kern w:val="0"/>
          <w:szCs w:val="21"/>
          <w:highlight w:val="none"/>
          <w14:textFill>
            <w14:solidFill>
              <w14:schemeClr w14:val="tx1"/>
            </w14:solidFill>
          </w14:textFill>
        </w:rPr>
        <w:t>,逾期未在规定时间内确认的，采购人一律视为已收到</w:t>
      </w:r>
      <w:r>
        <w:rPr>
          <w:rFonts w:hint="eastAsia" w:ascii="宋体" w:hAnsi="宋体" w:cs="宋体"/>
          <w:color w:val="000000" w:themeColor="text1"/>
          <w:highlight w:val="none"/>
          <w14:textFill>
            <w14:solidFill>
              <w14:schemeClr w14:val="tx1"/>
            </w14:solidFill>
          </w14:textFill>
        </w:rPr>
        <w:t>。</w:t>
      </w:r>
    </w:p>
    <w:p w14:paraId="1324752C">
      <w:pPr>
        <w:pStyle w:val="25"/>
        <w:tabs>
          <w:tab w:val="left" w:pos="993"/>
        </w:tabs>
        <w:adjustRightInd w:val="0"/>
        <w:snapToGrid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2.2.4</w:t>
      </w:r>
      <w:r>
        <w:rPr>
          <w:rFonts w:hint="eastAsia" w:ascii="宋体" w:hAnsi="宋体" w:cs="宋体"/>
          <w:color w:val="000000" w:themeColor="text1"/>
          <w:szCs w:val="21"/>
          <w:highlight w:val="none"/>
          <w14:textFill>
            <w14:solidFill>
              <w14:schemeClr w14:val="tx1"/>
            </w14:solidFill>
          </w14:textFill>
        </w:rPr>
        <w:t>除非采购人认为确有必要答复，否则，采购人有权拒绝回复应答人在本章第2.2.1项规定的时间后的任何澄清要求。</w:t>
      </w:r>
    </w:p>
    <w:p w14:paraId="686A0DD1">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39" w:name="_Toc62566160"/>
      <w:r>
        <w:rPr>
          <w:rFonts w:hint="eastAsia" w:ascii="黑体" w:hAnsi="黑体" w:eastAsia="黑体"/>
          <w:b/>
          <w:color w:val="000000" w:themeColor="text1"/>
          <w:highlight w:val="none"/>
          <w14:textFill>
            <w14:solidFill>
              <w14:schemeClr w14:val="tx1"/>
            </w14:solidFill>
          </w14:textFill>
        </w:rPr>
        <w:t>2.3 采购文件的修改</w:t>
      </w:r>
      <w:bookmarkEnd w:id="39"/>
    </w:p>
    <w:p w14:paraId="09C97950">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2.3.1</w:t>
      </w:r>
      <w:r>
        <w:rPr>
          <w:rFonts w:hint="eastAsia" w:ascii="宋体" w:hAnsi="宋体"/>
          <w:color w:val="000000" w:themeColor="text1"/>
          <w:szCs w:val="21"/>
          <w:highlight w:val="none"/>
          <w14:textFill>
            <w14:solidFill>
              <w14:schemeClr w14:val="tx1"/>
            </w14:solidFill>
          </w14:textFill>
        </w:rPr>
        <w:t>采购人可以主动对已发出的采购文件进行必要的澄清或修改，并通知所有已获取采购文件的应答人。但对实质影响编制采购文件的澄清或修改应在</w:t>
      </w:r>
      <w:r>
        <w:rPr>
          <w:rFonts w:hint="default" w:ascii="宋体" w:hAnsi="宋体"/>
          <w:color w:val="000000" w:themeColor="text1"/>
          <w:szCs w:val="21"/>
          <w:highlight w:val="none"/>
          <w14:textFill>
            <w14:solidFill>
              <w14:schemeClr w14:val="tx1"/>
            </w14:solidFill>
          </w14:textFill>
        </w:rPr>
        <w:t>应答</w:t>
      </w:r>
      <w:r>
        <w:rPr>
          <w:rFonts w:hint="eastAsia" w:ascii="宋体" w:hAnsi="宋体"/>
          <w:color w:val="000000" w:themeColor="text1"/>
          <w:szCs w:val="21"/>
          <w:highlight w:val="none"/>
          <w14:textFill>
            <w14:solidFill>
              <w14:schemeClr w14:val="tx1"/>
            </w14:solidFill>
          </w14:textFill>
        </w:rPr>
        <w:t>截止时间</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日前在</w:t>
      </w:r>
      <w:r>
        <w:rPr>
          <w:rFonts w:hint="eastAsia" w:ascii="宋体" w:hAnsi="宋体"/>
          <w:color w:val="000000" w:themeColor="text1"/>
          <w:szCs w:val="21"/>
          <w:highlight w:val="none"/>
          <w:lang w:eastAsia="zh-CN"/>
          <w14:textFill>
            <w14:solidFill>
              <w14:schemeClr w14:val="tx1"/>
            </w14:solidFill>
          </w14:textFill>
        </w:rPr>
        <w:t>招标人</w:t>
      </w:r>
      <w:r>
        <w:rPr>
          <w:rFonts w:hint="default" w:ascii="宋体" w:hAnsi="宋体"/>
          <w:color w:val="000000" w:themeColor="text1"/>
          <w:szCs w:val="21"/>
          <w:highlight w:val="none"/>
          <w:lang w:eastAsia="zh-CN"/>
          <w14:textFill>
            <w14:solidFill>
              <w14:schemeClr w14:val="tx1"/>
            </w14:solidFill>
          </w14:textFill>
        </w:rPr>
        <w:t>网站上发布</w:t>
      </w:r>
      <w:r>
        <w:rPr>
          <w:rFonts w:hint="eastAsia" w:ascii="宋体" w:hAnsi="宋体"/>
          <w:color w:val="000000" w:themeColor="text1"/>
          <w:szCs w:val="21"/>
          <w:highlight w:val="none"/>
          <w14:textFill>
            <w14:solidFill>
              <w14:schemeClr w14:val="tx1"/>
            </w14:solidFill>
          </w14:textFill>
        </w:rPr>
        <w:t>澄清或修改</w:t>
      </w:r>
      <w:r>
        <w:rPr>
          <w:rFonts w:hint="default" w:ascii="宋体" w:hAnsi="宋体"/>
          <w:color w:val="000000" w:themeColor="text1"/>
          <w:szCs w:val="21"/>
          <w:highlight w:val="none"/>
          <w14:textFill>
            <w14:solidFill>
              <w14:schemeClr w14:val="tx1"/>
            </w14:solidFill>
          </w14:textFill>
        </w:rPr>
        <w:t>通知</w:t>
      </w:r>
      <w:r>
        <w:rPr>
          <w:rFonts w:hint="eastAsia" w:ascii="宋体" w:hAnsi="宋体"/>
          <w:color w:val="000000" w:themeColor="text1"/>
          <w:szCs w:val="21"/>
          <w:highlight w:val="none"/>
          <w14:textFill>
            <w14:solidFill>
              <w14:schemeClr w14:val="tx1"/>
            </w14:solidFill>
          </w14:textFill>
        </w:rPr>
        <w:t>。</w:t>
      </w:r>
    </w:p>
    <w:p w14:paraId="6868F2DC">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2.3.2应答人应在</w:t>
      </w:r>
      <w:r>
        <w:rPr>
          <w:rFonts w:hint="eastAsia" w:ascii="宋体" w:hAnsi="宋体" w:cs="宋体"/>
          <w:color w:val="000000" w:themeColor="text1"/>
          <w:kern w:val="0"/>
          <w:szCs w:val="21"/>
          <w:highlight w:val="none"/>
          <w14:textFill>
            <w14:solidFill>
              <w14:schemeClr w14:val="tx1"/>
            </w14:solidFill>
          </w14:textFill>
        </w:rPr>
        <w:t>收到修改后24小时内</w:t>
      </w:r>
      <w:r>
        <w:rPr>
          <w:rFonts w:hint="default" w:ascii="宋体" w:hAnsi="宋体" w:cs="宋体"/>
          <w:color w:val="000000" w:themeColor="text1"/>
          <w:kern w:val="0"/>
          <w:szCs w:val="21"/>
          <w:highlight w:val="none"/>
          <w14:textFill>
            <w14:solidFill>
              <w14:schemeClr w14:val="tx1"/>
            </w14:solidFill>
          </w14:textFill>
        </w:rPr>
        <w:t>回复加盖公章的电子版确认单（格式自拟）</w:t>
      </w:r>
      <w:r>
        <w:rPr>
          <w:rFonts w:hint="eastAsia" w:ascii="宋体" w:hAnsi="宋体"/>
          <w:color w:val="000000" w:themeColor="text1"/>
          <w:highlight w:val="none"/>
          <w14:textFill>
            <w14:solidFill>
              <w14:schemeClr w14:val="tx1"/>
            </w14:solidFill>
          </w14:textFill>
        </w:rPr>
        <w:t>进行确认</w:t>
      </w:r>
      <w:r>
        <w:rPr>
          <w:rFonts w:hint="eastAsia" w:ascii="宋体" w:hAnsi="宋体" w:cs="宋体"/>
          <w:color w:val="000000" w:themeColor="text1"/>
          <w:kern w:val="0"/>
          <w:szCs w:val="21"/>
          <w:highlight w:val="none"/>
          <w14:textFill>
            <w14:solidFill>
              <w14:schemeClr w14:val="tx1"/>
            </w14:solidFill>
          </w14:textFill>
        </w:rPr>
        <w:t>,逾期未在规定时间内确认的，采购人一律视为已收到</w:t>
      </w:r>
      <w:r>
        <w:rPr>
          <w:rFonts w:hint="eastAsia" w:ascii="宋体" w:hAnsi="宋体"/>
          <w:color w:val="000000" w:themeColor="text1"/>
          <w:highlight w:val="none"/>
          <w14:textFill>
            <w14:solidFill>
              <w14:schemeClr w14:val="tx1"/>
            </w14:solidFill>
          </w14:textFill>
        </w:rPr>
        <w:t>。</w:t>
      </w:r>
    </w:p>
    <w:p w14:paraId="563F302B">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2.3.3为使应答人准备应答文件时，有充分时间对采购文件的修改部分进行研究，采购人可以自行决定延长</w:t>
      </w:r>
      <w:r>
        <w:rPr>
          <w:rFonts w:hint="default" w:ascii="宋体" w:hAnsi="宋体"/>
          <w:color w:val="000000" w:themeColor="text1"/>
          <w:highlight w:val="none"/>
          <w14:textFill>
            <w14:solidFill>
              <w14:schemeClr w14:val="tx1"/>
            </w14:solidFill>
          </w14:textFill>
        </w:rPr>
        <w:t>应答</w:t>
      </w:r>
      <w:r>
        <w:rPr>
          <w:rFonts w:hint="eastAsia" w:ascii="宋体" w:hAnsi="宋体"/>
          <w:color w:val="000000" w:themeColor="text1"/>
          <w:highlight w:val="none"/>
          <w14:textFill>
            <w14:solidFill>
              <w14:schemeClr w14:val="tx1"/>
            </w14:solidFill>
          </w14:textFill>
        </w:rPr>
        <w:t>截止日期</w:t>
      </w:r>
      <w:r>
        <w:rPr>
          <w:rFonts w:hint="default" w:ascii="宋体" w:hAnsi="宋体"/>
          <w:color w:val="000000" w:themeColor="text1"/>
          <w:highlight w:val="none"/>
          <w14:textFill>
            <w14:solidFill>
              <w14:schemeClr w14:val="tx1"/>
            </w14:solidFill>
          </w14:textFill>
        </w:rPr>
        <w:t>，并</w:t>
      </w:r>
      <w:r>
        <w:rPr>
          <w:rFonts w:hint="eastAsia" w:ascii="宋体" w:hAnsi="宋体"/>
          <w:color w:val="000000" w:themeColor="text1"/>
          <w:highlight w:val="none"/>
          <w14:textFill>
            <w14:solidFill>
              <w14:schemeClr w14:val="tx1"/>
            </w14:solidFill>
          </w14:textFill>
        </w:rPr>
        <w:t>将提前2日在</w:t>
      </w:r>
      <w:r>
        <w:rPr>
          <w:rFonts w:hint="eastAsia" w:ascii="宋体" w:hAnsi="宋体"/>
          <w:color w:val="000000" w:themeColor="text1"/>
          <w:highlight w:val="none"/>
          <w:lang w:eastAsia="zh-CN"/>
          <w14:textFill>
            <w14:solidFill>
              <w14:schemeClr w14:val="tx1"/>
            </w14:solidFill>
          </w14:textFill>
        </w:rPr>
        <w:t>招标人</w:t>
      </w:r>
      <w:r>
        <w:rPr>
          <w:rFonts w:hint="default" w:ascii="宋体" w:hAnsi="宋体"/>
          <w:color w:val="000000" w:themeColor="text1"/>
          <w:highlight w:val="none"/>
          <w:lang w:eastAsia="zh-CN"/>
          <w14:textFill>
            <w14:solidFill>
              <w14:schemeClr w14:val="tx1"/>
            </w14:solidFill>
          </w14:textFill>
        </w:rPr>
        <w:t>网站上发布延期通知</w:t>
      </w:r>
      <w:r>
        <w:rPr>
          <w:rFonts w:hint="eastAsia" w:ascii="宋体" w:hAnsi="宋体"/>
          <w:color w:val="000000" w:themeColor="text1"/>
          <w:highlight w:val="none"/>
          <w14:textFill>
            <w14:solidFill>
              <w14:schemeClr w14:val="tx1"/>
            </w14:solidFill>
          </w14:textFill>
        </w:rPr>
        <w:t>，应答人应</w:t>
      </w:r>
      <w:r>
        <w:rPr>
          <w:rFonts w:hint="default" w:ascii="宋体" w:hAnsi="宋体"/>
          <w:color w:val="000000" w:themeColor="text1"/>
          <w:highlight w:val="none"/>
          <w14:textFill>
            <w14:solidFill>
              <w14:schemeClr w14:val="tx1"/>
            </w14:solidFill>
          </w14:textFill>
        </w:rPr>
        <w:t>在</w:t>
      </w:r>
      <w:r>
        <w:rPr>
          <w:rFonts w:hint="eastAsia" w:ascii="宋体" w:hAnsi="宋体" w:cs="宋体"/>
          <w:color w:val="000000" w:themeColor="text1"/>
          <w:kern w:val="0"/>
          <w:szCs w:val="21"/>
          <w:highlight w:val="none"/>
          <w14:textFill>
            <w14:solidFill>
              <w14:schemeClr w14:val="tx1"/>
            </w14:solidFill>
          </w14:textFill>
        </w:rPr>
        <w:t>24小时内</w:t>
      </w:r>
      <w:r>
        <w:rPr>
          <w:rFonts w:hint="eastAsia" w:ascii="宋体" w:hAnsi="宋体"/>
          <w:color w:val="000000" w:themeColor="text1"/>
          <w:highlight w:val="none"/>
          <w14:textFill>
            <w14:solidFill>
              <w14:schemeClr w14:val="tx1"/>
            </w14:solidFill>
          </w14:textFill>
        </w:rPr>
        <w:t>进行确认。</w:t>
      </w:r>
    </w:p>
    <w:p w14:paraId="24311055">
      <w:pPr>
        <w:numPr>
          <w:ilvl w:val="0"/>
          <w:numId w:val="2"/>
        </w:numPr>
        <w:adjustRightInd w:val="0"/>
        <w:snapToGrid w:val="0"/>
        <w:spacing w:before="317" w:beforeLines="100" w:after="158" w:afterLines="50" w:line="400" w:lineRule="exact"/>
        <w:ind w:firstLine="482" w:firstLineChars="0"/>
        <w:outlineLvl w:val="1"/>
        <w:rPr>
          <w:rFonts w:eastAsia="黑体"/>
          <w:b/>
          <w:color w:val="000000" w:themeColor="text1"/>
          <w:sz w:val="24"/>
          <w:highlight w:val="none"/>
          <w14:textFill>
            <w14:solidFill>
              <w14:schemeClr w14:val="tx1"/>
            </w14:solidFill>
          </w14:textFill>
        </w:rPr>
      </w:pPr>
      <w:bookmarkStart w:id="40" w:name="_Toc62566161"/>
      <w:bookmarkStart w:id="41" w:name="_Toc27529"/>
      <w:bookmarkStart w:id="42" w:name="_Toc11905"/>
      <w:r>
        <w:rPr>
          <w:rFonts w:hint="eastAsia" w:eastAsia="黑体"/>
          <w:b/>
          <w:color w:val="000000" w:themeColor="text1"/>
          <w:sz w:val="24"/>
          <w:highlight w:val="none"/>
          <w14:textFill>
            <w14:solidFill>
              <w14:schemeClr w14:val="tx1"/>
            </w14:solidFill>
          </w14:textFill>
        </w:rPr>
        <w:t>应答文件</w:t>
      </w:r>
      <w:bookmarkEnd w:id="40"/>
      <w:bookmarkEnd w:id="41"/>
      <w:bookmarkEnd w:id="42"/>
    </w:p>
    <w:p w14:paraId="486F3518">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43" w:name="_Toc62566162"/>
      <w:r>
        <w:rPr>
          <w:rFonts w:hint="eastAsia" w:ascii="黑体" w:hAnsi="黑体" w:eastAsia="黑体"/>
          <w:b/>
          <w:color w:val="000000" w:themeColor="text1"/>
          <w:highlight w:val="none"/>
          <w14:textFill>
            <w14:solidFill>
              <w14:schemeClr w14:val="tx1"/>
            </w14:solidFill>
          </w14:textFill>
        </w:rPr>
        <w:t>3.1 应答文件的组成</w:t>
      </w:r>
      <w:bookmarkEnd w:id="43"/>
    </w:p>
    <w:p w14:paraId="3334584D">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3.1.1应答文件的组成及具体编制条目内容见第</w:t>
      </w:r>
      <w:r>
        <w:rPr>
          <w:rFonts w:hint="default" w:ascii="宋体" w:hAnsi="宋体"/>
          <w:color w:val="000000" w:themeColor="text1"/>
          <w:highlight w:val="none"/>
          <w14:textFill>
            <w14:solidFill>
              <w14:schemeClr w14:val="tx1"/>
            </w14:solidFill>
          </w14:textFill>
        </w:rPr>
        <w:t>六</w:t>
      </w:r>
      <w:r>
        <w:rPr>
          <w:rFonts w:hint="eastAsia" w:ascii="宋体" w:hAnsi="宋体"/>
          <w:color w:val="000000" w:themeColor="text1"/>
          <w:highlight w:val="none"/>
          <w14:textFill>
            <w14:solidFill>
              <w14:schemeClr w14:val="tx1"/>
            </w14:solidFill>
          </w14:textFill>
        </w:rPr>
        <w:t>章应答文件格式。</w:t>
      </w:r>
    </w:p>
    <w:p w14:paraId="1A37CB89">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3.1.2采购文件规定不接受联合体应答的，或应答人没有组成联合体的，应答文件不包括联合体协议书。</w:t>
      </w:r>
    </w:p>
    <w:p w14:paraId="4B2B3311">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44" w:name="_Toc62566163"/>
      <w:r>
        <w:rPr>
          <w:rFonts w:hint="eastAsia" w:ascii="黑体" w:hAnsi="黑体" w:eastAsia="黑体"/>
          <w:b/>
          <w:color w:val="000000" w:themeColor="text1"/>
          <w:highlight w:val="none"/>
          <w14:textFill>
            <w14:solidFill>
              <w14:schemeClr w14:val="tx1"/>
            </w14:solidFill>
          </w14:textFill>
        </w:rPr>
        <w:t>3.2 应答报价</w:t>
      </w:r>
      <w:bookmarkEnd w:id="44"/>
    </w:p>
    <w:p w14:paraId="4A7D86F9">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3.2.1应答报价应包含所需缴纳的一切相关税、费、国家规定的增值税税金，即履行全部合同义务的价格（含税）。采购人不再支付额外的费用。应答人未单独列明的明细价格将被视为该项的费用已包含在其他明细中，合同执行中不另予支付。</w:t>
      </w:r>
    </w:p>
    <w:p w14:paraId="79CB74E4">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应答人应充分了解该项目的总体情况以及影响应答报价的其他要素。</w:t>
      </w:r>
    </w:p>
    <w:p w14:paraId="3758609F">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应答人应按</w:t>
      </w:r>
      <w:r>
        <w:rPr>
          <w:rFonts w:hint="default" w:ascii="宋体" w:hAnsi="宋体"/>
          <w:color w:val="000000" w:themeColor="text1"/>
          <w:highlight w:val="none"/>
          <w14:textFill>
            <w14:solidFill>
              <w14:schemeClr w14:val="tx1"/>
            </w14:solidFill>
          </w14:textFill>
        </w:rPr>
        <w:t>第六章应答</w:t>
      </w:r>
      <w:r>
        <w:rPr>
          <w:rFonts w:hint="eastAsia" w:ascii="宋体" w:hAnsi="宋体"/>
          <w:color w:val="000000" w:themeColor="text1"/>
          <w:highlight w:val="none"/>
          <w14:textFill>
            <w14:solidFill>
              <w14:schemeClr w14:val="tx1"/>
            </w14:solidFill>
          </w14:textFill>
        </w:rPr>
        <w:t>文件格式的要求进行报价。</w:t>
      </w:r>
    </w:p>
    <w:p w14:paraId="697F44EB">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w:t>
      </w:r>
      <w:r>
        <w:rPr>
          <w:rFonts w:hint="eastAsia"/>
          <w:color w:val="000000" w:themeColor="text1"/>
          <w:highlight w:val="none"/>
          <w14:textFill>
            <w14:solidFill>
              <w14:schemeClr w14:val="tx1"/>
            </w14:solidFill>
          </w14:textFill>
        </w:rPr>
        <w:t>本项目的报价方式见应答人须知前附表。</w:t>
      </w:r>
      <w:r>
        <w:rPr>
          <w:rFonts w:hint="eastAsia" w:ascii="宋体" w:hAnsi="宋体"/>
          <w:color w:val="000000" w:themeColor="text1"/>
          <w:highlight w:val="none"/>
          <w14:textFill>
            <w14:solidFill>
              <w14:schemeClr w14:val="tx1"/>
            </w14:solidFill>
          </w14:textFill>
        </w:rPr>
        <w:t>应答人在</w:t>
      </w:r>
      <w:r>
        <w:rPr>
          <w:rFonts w:hint="default" w:ascii="宋体" w:hAnsi="宋体"/>
          <w:color w:val="000000" w:themeColor="text1"/>
          <w:highlight w:val="none"/>
          <w14:textFill>
            <w14:solidFill>
              <w14:schemeClr w14:val="tx1"/>
            </w14:solidFill>
          </w14:textFill>
        </w:rPr>
        <w:t>应答</w:t>
      </w:r>
      <w:r>
        <w:rPr>
          <w:rFonts w:hint="eastAsia" w:ascii="宋体" w:hAnsi="宋体"/>
          <w:color w:val="000000" w:themeColor="text1"/>
          <w:highlight w:val="none"/>
          <w14:textFill>
            <w14:solidFill>
              <w14:schemeClr w14:val="tx1"/>
            </w14:solidFill>
          </w14:textFill>
        </w:rPr>
        <w:t>截止时间前修改应答函中的应答总价，应同时修改</w:t>
      </w:r>
      <w:r>
        <w:rPr>
          <w:rFonts w:hint="default" w:ascii="宋体" w:hAnsi="宋体"/>
          <w:color w:val="000000" w:themeColor="text1"/>
          <w:highlight w:val="none"/>
          <w14:textFill>
            <w14:solidFill>
              <w14:schemeClr w14:val="tx1"/>
            </w14:solidFill>
          </w14:textFill>
        </w:rPr>
        <w:t>第六章应答</w:t>
      </w:r>
      <w:r>
        <w:rPr>
          <w:rFonts w:hint="eastAsia" w:ascii="宋体" w:hAnsi="宋体"/>
          <w:color w:val="000000" w:themeColor="text1"/>
          <w:highlight w:val="none"/>
          <w14:textFill>
            <w14:solidFill>
              <w14:schemeClr w14:val="tx1"/>
            </w14:solidFill>
          </w14:textFill>
        </w:rPr>
        <w:t>文件格式中的相应报价。此修改须符合本章第4.3款的有关规定。</w:t>
      </w:r>
    </w:p>
    <w:p w14:paraId="196879DA">
      <w:pPr>
        <w:adjustRightInd w:val="0"/>
        <w:snapToGrid w:val="0"/>
        <w:spacing w:line="400" w:lineRule="exact"/>
        <w:ind w:firstLine="480" w:firstLineChars="200"/>
        <w:rPr>
          <w:rFonts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3.2.3</w:t>
      </w:r>
      <w:r>
        <w:rPr>
          <w:rFonts w:hint="eastAsia"/>
          <w:color w:val="000000" w:themeColor="text1"/>
          <w:highlight w:val="none"/>
          <w14:textFill>
            <w14:solidFill>
              <w14:schemeClr w14:val="tx1"/>
            </w14:solidFill>
          </w14:textFill>
        </w:rPr>
        <w:t>采购人设有</w:t>
      </w:r>
      <w:r>
        <w:rPr>
          <w:rFonts w:hint="eastAsia"/>
          <w:color w:val="000000" w:themeColor="text1"/>
          <w:highlight w:val="none"/>
          <w:lang w:eastAsia="zh-CN"/>
          <w14:textFill>
            <w14:solidFill>
              <w14:schemeClr w14:val="tx1"/>
            </w14:solidFill>
          </w14:textFill>
        </w:rPr>
        <w:t>最高限价</w:t>
      </w:r>
      <w:r>
        <w:rPr>
          <w:rFonts w:hint="eastAsia"/>
          <w:color w:val="000000" w:themeColor="text1"/>
          <w:highlight w:val="none"/>
          <w14:textFill>
            <w14:solidFill>
              <w14:schemeClr w14:val="tx1"/>
            </w14:solidFill>
          </w14:textFill>
        </w:rPr>
        <w:t>的，应答人的应答报价不得超过</w:t>
      </w:r>
      <w:r>
        <w:rPr>
          <w:rFonts w:hint="eastAsia"/>
          <w:color w:val="000000" w:themeColor="text1"/>
          <w:highlight w:val="none"/>
          <w:lang w:eastAsia="zh-CN"/>
          <w14:textFill>
            <w14:solidFill>
              <w14:schemeClr w14:val="tx1"/>
            </w14:solidFill>
          </w14:textFill>
        </w:rPr>
        <w:t>最高限价</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最高限价</w:t>
      </w:r>
      <w:r>
        <w:rPr>
          <w:rFonts w:hint="eastAsia"/>
          <w:color w:val="000000" w:themeColor="text1"/>
          <w:highlight w:val="none"/>
          <w14:textFill>
            <w14:solidFill>
              <w14:schemeClr w14:val="tx1"/>
            </w14:solidFill>
          </w14:textFill>
        </w:rPr>
        <w:t>在应答人须知前附表中载明。</w:t>
      </w:r>
    </w:p>
    <w:p w14:paraId="21B8CB62">
      <w:pPr>
        <w:adjustRightInd w:val="0"/>
        <w:snapToGrid w:val="0"/>
        <w:spacing w:line="400" w:lineRule="exact"/>
        <w:ind w:firstLine="482" w:firstLineChars="200"/>
        <w:outlineLvl w:val="2"/>
        <w:rPr>
          <w:rFonts w:ascii="黑体" w:hAnsi="黑体" w:eastAsia="黑体"/>
          <w:color w:val="000000" w:themeColor="text1"/>
          <w:highlight w:val="none"/>
          <w14:textFill>
            <w14:solidFill>
              <w14:schemeClr w14:val="tx1"/>
            </w14:solidFill>
          </w14:textFill>
        </w:rPr>
      </w:pPr>
      <w:bookmarkStart w:id="45" w:name="_Toc62566164"/>
      <w:r>
        <w:rPr>
          <w:rFonts w:hint="eastAsia" w:ascii="黑体" w:hAnsi="黑体" w:eastAsia="黑体"/>
          <w:b/>
          <w:color w:val="000000" w:themeColor="text1"/>
          <w:highlight w:val="none"/>
          <w14:textFill>
            <w14:solidFill>
              <w14:schemeClr w14:val="tx1"/>
            </w14:solidFill>
          </w14:textFill>
        </w:rPr>
        <w:t>3.3 应答有效期</w:t>
      </w:r>
      <w:bookmarkEnd w:id="45"/>
    </w:p>
    <w:p w14:paraId="6938A2DD">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3.3.1 在应答人须知前附表规定的应答有效期内，应答人不得要求撤销其应答文件。</w:t>
      </w:r>
    </w:p>
    <w:p w14:paraId="58A78BB2">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3.3.2出现特殊情况需要延长应答有效期的，采购人以书面形式通知所有应答人延长应答文件有效期。应答人同意延长的，应相应延长其应答保证金的有效期，但不得要求或被允许修改或撤销其应答文件；应答人拒绝延长的，其应答失效，但应答人有权收回其应答保证金及银行同期活期存款利息。因延长应答有效期造成应答人损失的，采购人应当给予补偿，但因不可抗力需延长应答有效期的除外。</w:t>
      </w:r>
    </w:p>
    <w:p w14:paraId="4640F74C">
      <w:pPr>
        <w:pStyle w:val="14"/>
        <w:adjustRightInd w:val="0"/>
        <w:snapToGrid w:val="0"/>
        <w:spacing w:after="0" w:line="400" w:lineRule="exact"/>
        <w:ind w:firstLineChars="200"/>
        <w:rPr>
          <w:rFonts w:ascii="宋体" w:hAns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3.3.3</w:t>
      </w:r>
      <w:r>
        <w:rPr>
          <w:rFonts w:hint="eastAsia" w:ascii="宋体" w:hAnsi="宋体"/>
          <w:color w:val="000000" w:themeColor="text1"/>
          <w:szCs w:val="22"/>
          <w:highlight w:val="none"/>
          <w14:textFill>
            <w14:solidFill>
              <w14:schemeClr w14:val="tx1"/>
            </w14:solidFill>
          </w14:textFill>
        </w:rPr>
        <w:t>在应答有效期内，应答人撤销应答文件的，应承担采购文件和法律法规规定的责任。</w:t>
      </w:r>
    </w:p>
    <w:p w14:paraId="5B845A8A">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46" w:name="_Toc62566165"/>
      <w:r>
        <w:rPr>
          <w:rFonts w:hint="eastAsia" w:ascii="黑体" w:hAnsi="黑体" w:eastAsia="黑体"/>
          <w:b/>
          <w:color w:val="000000" w:themeColor="text1"/>
          <w:highlight w:val="none"/>
          <w14:textFill>
            <w14:solidFill>
              <w14:schemeClr w14:val="tx1"/>
            </w14:solidFill>
          </w14:textFill>
        </w:rPr>
        <w:t>3.4 应答保证金</w:t>
      </w:r>
      <w:bookmarkEnd w:id="46"/>
    </w:p>
    <w:p w14:paraId="6980720B">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3.4.1应答人在递交应答文件的同时，应按应答人须知前附表规定的担保形式和</w:t>
      </w:r>
      <w:r>
        <w:rPr>
          <w:rFonts w:hint="default" w:ascii="宋体" w:hAnsi="宋体"/>
          <w:color w:val="000000" w:themeColor="text1"/>
          <w:highlight w:val="none"/>
          <w14:textFill>
            <w14:solidFill>
              <w14:schemeClr w14:val="tx1"/>
            </w14:solidFill>
          </w14:textFill>
        </w:rPr>
        <w:t>第六章应答</w:t>
      </w:r>
      <w:r>
        <w:rPr>
          <w:rFonts w:hint="eastAsia" w:ascii="宋体" w:hAnsi="宋体"/>
          <w:color w:val="000000" w:themeColor="text1"/>
          <w:highlight w:val="none"/>
          <w14:textFill>
            <w14:solidFill>
              <w14:schemeClr w14:val="tx1"/>
            </w14:solidFill>
          </w14:textFill>
        </w:rPr>
        <w:t>文件格式规定的应答保证金格式递交应答保证金，并作为其应答文件的组成部分。联合体应答的，其应答保证金由牵头人递交，并符合应答人须知前附表的规定。</w:t>
      </w:r>
    </w:p>
    <w:p w14:paraId="2B9A6842">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 应答人不按本章第3.4.1项要求提交应答保证金的，其应答将被否决。</w:t>
      </w:r>
    </w:p>
    <w:p w14:paraId="69BFF539">
      <w:pPr>
        <w:adjustRightInd w:val="0"/>
        <w:snapToGrid w:val="0"/>
        <w:spacing w:line="400" w:lineRule="exact"/>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3.4.3采购人最迟应当在书面合同签订后5日内向成交人和未成交的应答人退还应答保证金及银行同期存款利息。以应答保证保险形式提交的应答保证金，应答保证保险保单载明的保险期间届满后自动失效，不另行退还。</w:t>
      </w:r>
    </w:p>
    <w:p w14:paraId="05AECEC2">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3.4.4有下列情形之一的，应答保证金将不予退还：</w:t>
      </w:r>
    </w:p>
    <w:p w14:paraId="796C03D3">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）在</w:t>
      </w:r>
      <w:r>
        <w:rPr>
          <w:rFonts w:hint="default" w:ascii="宋体" w:hAnsi="宋体"/>
          <w:color w:val="000000" w:themeColor="text1"/>
          <w:highlight w:val="none"/>
          <w14:textFill>
            <w14:solidFill>
              <w14:schemeClr w14:val="tx1"/>
            </w14:solidFill>
          </w14:textFill>
        </w:rPr>
        <w:t>应答</w:t>
      </w:r>
      <w:r>
        <w:rPr>
          <w:rFonts w:hint="eastAsia" w:ascii="宋体" w:hAnsi="宋体"/>
          <w:color w:val="000000" w:themeColor="text1"/>
          <w:highlight w:val="none"/>
          <w14:textFill>
            <w14:solidFill>
              <w14:schemeClr w14:val="tx1"/>
            </w14:solidFill>
          </w14:textFill>
        </w:rPr>
        <w:t>截止时间后应答人撤销其应答文件的；</w:t>
      </w:r>
    </w:p>
    <w:p w14:paraId="42B57015">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）成交</w:t>
      </w:r>
      <w:r>
        <w:rPr>
          <w:rFonts w:hint="eastAsia"/>
          <w:color w:val="000000" w:themeColor="text1"/>
          <w:highlight w:val="none"/>
          <w14:textFill>
            <w14:solidFill>
              <w14:schemeClr w14:val="tx1"/>
            </w14:solidFill>
          </w14:textFill>
        </w:rPr>
        <w:t>人在收到</w:t>
      </w:r>
      <w:r>
        <w:rPr>
          <w:rFonts w:hint="eastAsia" w:ascii="宋体" w:hAnsi="宋体"/>
          <w:color w:val="000000" w:themeColor="text1"/>
          <w:highlight w:val="none"/>
          <w14:textFill>
            <w14:solidFill>
              <w14:schemeClr w14:val="tx1"/>
            </w14:solidFill>
          </w14:textFill>
        </w:rPr>
        <w:t>成交</w:t>
      </w:r>
      <w:r>
        <w:rPr>
          <w:rFonts w:hint="eastAsia"/>
          <w:color w:val="000000" w:themeColor="text1"/>
          <w:highlight w:val="none"/>
          <w14:textFill>
            <w14:solidFill>
              <w14:schemeClr w14:val="tx1"/>
            </w14:solidFill>
          </w14:textFill>
        </w:rPr>
        <w:t>通知书后，无正当理由不与采购人订立合同，在签订合同时向采购人提出附加条件，或者不按照采购文件要求提交履约保证金</w:t>
      </w:r>
      <w:r>
        <w:rPr>
          <w:rFonts w:hint="eastAsia" w:ascii="宋体" w:hAnsi="宋体"/>
          <w:color w:val="000000" w:themeColor="text1"/>
          <w:highlight w:val="none"/>
          <w14:textFill>
            <w14:solidFill>
              <w14:schemeClr w14:val="tx1"/>
            </w14:solidFill>
          </w14:textFill>
        </w:rPr>
        <w:t>的；</w:t>
      </w:r>
    </w:p>
    <w:p w14:paraId="2692F6A4">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）在</w:t>
      </w:r>
      <w:r>
        <w:rPr>
          <w:rFonts w:hint="default" w:ascii="宋体" w:hAnsi="宋体"/>
          <w:color w:val="000000" w:themeColor="text1"/>
          <w:highlight w:val="none"/>
          <w14:textFill>
            <w14:solidFill>
              <w14:schemeClr w14:val="tx1"/>
            </w14:solidFill>
          </w14:textFill>
        </w:rPr>
        <w:t>应答</w:t>
      </w:r>
      <w:r>
        <w:rPr>
          <w:rFonts w:hint="eastAsia" w:ascii="宋体" w:hAnsi="宋体"/>
          <w:color w:val="000000" w:themeColor="text1"/>
          <w:highlight w:val="none"/>
          <w14:textFill>
            <w14:solidFill>
              <w14:schemeClr w14:val="tx1"/>
            </w14:solidFill>
          </w14:textFill>
        </w:rPr>
        <w:t>截止时间后主动对应答文件提出实质性修改的；</w:t>
      </w:r>
    </w:p>
    <w:p w14:paraId="63E4D152">
      <w:pPr>
        <w:adjustRightInd w:val="0"/>
        <w:snapToGrid w:val="0"/>
        <w:spacing w:line="400" w:lineRule="exact"/>
        <w:ind w:firstLine="480" w:firstLineChars="20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）应答人串通应答或有其他违法行为的</w:t>
      </w:r>
      <w:r>
        <w:rPr>
          <w:rFonts w:hint="default" w:ascii="宋体" w:hAnsi="宋体"/>
          <w:color w:val="000000" w:themeColor="text1"/>
          <w:highlight w:val="none"/>
          <w14:textFill>
            <w14:solidFill>
              <w14:schemeClr w14:val="tx1"/>
            </w14:solidFill>
          </w14:textFill>
        </w:rPr>
        <w:t>；</w:t>
      </w:r>
    </w:p>
    <w:p w14:paraId="75B5FB75">
      <w:pPr>
        <w:adjustRightInd w:val="0"/>
        <w:snapToGrid w:val="0"/>
        <w:spacing w:line="400" w:lineRule="exact"/>
        <w:ind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（5）国家法律法规及采购文件规定的其他情形。</w:t>
      </w:r>
    </w:p>
    <w:p w14:paraId="79C11F10">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47" w:name="_Toc62566167"/>
      <w:r>
        <w:rPr>
          <w:rFonts w:hint="eastAsia" w:ascii="黑体" w:hAnsi="黑体" w:eastAsia="黑体"/>
          <w:b/>
          <w:color w:val="000000" w:themeColor="text1"/>
          <w:highlight w:val="none"/>
          <w14:textFill>
            <w14:solidFill>
              <w14:schemeClr w14:val="tx1"/>
            </w14:solidFill>
          </w14:textFill>
        </w:rPr>
        <w:t>3.5应答文件的编制</w:t>
      </w:r>
      <w:bookmarkEnd w:id="47"/>
    </w:p>
    <w:p w14:paraId="6CC77511">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3.5.1应答文件应按</w:t>
      </w:r>
      <w:r>
        <w:rPr>
          <w:rFonts w:hint="default" w:ascii="宋体" w:hAnsi="宋体"/>
          <w:color w:val="000000" w:themeColor="text1"/>
          <w:highlight w:val="none"/>
          <w14:textFill>
            <w14:solidFill>
              <w14:schemeClr w14:val="tx1"/>
            </w14:solidFill>
          </w14:textFill>
        </w:rPr>
        <w:t>第六章应答</w:t>
      </w:r>
      <w:r>
        <w:rPr>
          <w:rFonts w:hint="eastAsia" w:ascii="宋体" w:hAnsi="宋体"/>
          <w:color w:val="000000" w:themeColor="text1"/>
          <w:highlight w:val="none"/>
          <w14:textFill>
            <w14:solidFill>
              <w14:schemeClr w14:val="tx1"/>
            </w14:solidFill>
          </w14:textFill>
        </w:rPr>
        <w:t>文件格式进行编写。并按采购文件规定递交应答文件，其中，在满足采购文件实质性要求的基础上，可以提出比采购文件要求更有利于采购人的承诺，评审</w:t>
      </w:r>
      <w:r>
        <w:rPr>
          <w:rFonts w:hint="default" w:ascii="宋体" w:hAnsi="宋体"/>
          <w:color w:val="000000" w:themeColor="text1"/>
          <w:highlight w:val="none"/>
          <w14:textFill>
            <w14:solidFill>
              <w14:schemeClr w14:val="tx1"/>
            </w14:solidFill>
          </w14:textFill>
        </w:rPr>
        <w:t>小组</w:t>
      </w:r>
      <w:r>
        <w:rPr>
          <w:rFonts w:hint="eastAsia" w:ascii="宋体" w:hAnsi="宋体"/>
          <w:color w:val="000000" w:themeColor="text1"/>
          <w:highlight w:val="none"/>
          <w14:textFill>
            <w14:solidFill>
              <w14:schemeClr w14:val="tx1"/>
            </w14:solidFill>
          </w14:textFill>
        </w:rPr>
        <w:t>将依据评审办法规定对相关承诺进行评审。</w:t>
      </w:r>
    </w:p>
    <w:p w14:paraId="09EC930E">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3.5.2 应答文件应当对采购文件有关项目实施期限/计划工期、应答有效期、质量要求、技术标准和要求、采购范围等实质性内容作出响应。</w:t>
      </w:r>
    </w:p>
    <w:p w14:paraId="6EE44BA2">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3.5.3应答文件所附证书证件均为原件扫描件，并按采购文件要求在相应位置加盖印章。由应答人的委托代理人签字的，应附由法定代表人（单位负责人）签署的授权委托书。具体要求见应答人须知前附表。</w:t>
      </w:r>
    </w:p>
    <w:p w14:paraId="73711996">
      <w:pPr>
        <w:numPr>
          <w:ilvl w:val="0"/>
          <w:numId w:val="2"/>
        </w:numPr>
        <w:adjustRightInd w:val="0"/>
        <w:snapToGrid w:val="0"/>
        <w:spacing w:before="317" w:beforeLines="100" w:after="158" w:afterLines="50" w:line="400" w:lineRule="exact"/>
        <w:ind w:firstLine="482" w:firstLineChars="0"/>
        <w:outlineLvl w:val="1"/>
        <w:rPr>
          <w:rFonts w:eastAsia="黑体"/>
          <w:b/>
          <w:color w:val="000000" w:themeColor="text1"/>
          <w:sz w:val="24"/>
          <w:highlight w:val="none"/>
          <w14:textFill>
            <w14:solidFill>
              <w14:schemeClr w14:val="tx1"/>
            </w14:solidFill>
          </w14:textFill>
        </w:rPr>
      </w:pPr>
      <w:bookmarkStart w:id="48" w:name="_Toc62566168"/>
      <w:bookmarkStart w:id="49" w:name="_Toc25308"/>
      <w:bookmarkStart w:id="50" w:name="_Toc20812"/>
      <w:r>
        <w:rPr>
          <w:rFonts w:hint="eastAsia" w:eastAsia="黑体"/>
          <w:b/>
          <w:color w:val="000000" w:themeColor="text1"/>
          <w:sz w:val="24"/>
          <w:highlight w:val="none"/>
          <w14:textFill>
            <w14:solidFill>
              <w14:schemeClr w14:val="tx1"/>
            </w14:solidFill>
          </w14:textFill>
        </w:rPr>
        <w:t>应答</w:t>
      </w:r>
      <w:bookmarkEnd w:id="48"/>
      <w:bookmarkEnd w:id="49"/>
      <w:bookmarkEnd w:id="50"/>
    </w:p>
    <w:p w14:paraId="3113A464">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r>
        <w:rPr>
          <w:rFonts w:hint="eastAsia" w:ascii="黑体" w:hAnsi="黑体" w:eastAsia="黑体"/>
          <w:b/>
          <w:color w:val="000000" w:themeColor="text1"/>
          <w:highlight w:val="none"/>
          <w14:textFill>
            <w14:solidFill>
              <w14:schemeClr w14:val="tx1"/>
            </w14:solidFill>
          </w14:textFill>
        </w:rPr>
        <w:t>4.1应答文件的装订与密封</w:t>
      </w:r>
    </w:p>
    <w:p w14:paraId="77410F19">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应答人应当按照采购文件的要求</w:t>
      </w:r>
      <w:r>
        <w:rPr>
          <w:rFonts w:hint="default" w:ascii="宋体" w:hAnsi="宋体"/>
          <w:color w:val="000000" w:themeColor="text1"/>
          <w:highlight w:val="none"/>
          <w14:textFill>
            <w14:solidFill>
              <w14:schemeClr w14:val="tx1"/>
            </w14:solidFill>
          </w14:textFill>
        </w:rPr>
        <w:t>装订和</w:t>
      </w:r>
      <w:r>
        <w:rPr>
          <w:rFonts w:hint="eastAsia" w:ascii="宋体" w:hAnsi="宋体"/>
          <w:color w:val="000000" w:themeColor="text1"/>
          <w:highlight w:val="none"/>
          <w14:textFill>
            <w14:solidFill>
              <w14:schemeClr w14:val="tx1"/>
            </w14:solidFill>
          </w14:textFill>
        </w:rPr>
        <w:t>加密应答文件，具体要求见应答人须知前附表。</w:t>
      </w:r>
    </w:p>
    <w:p w14:paraId="0CD290B2">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r>
        <w:rPr>
          <w:rFonts w:ascii="黑体" w:hAnsi="黑体" w:eastAsia="黑体"/>
          <w:b/>
          <w:color w:val="000000" w:themeColor="text1"/>
          <w:highlight w:val="none"/>
          <w14:textFill>
            <w14:solidFill>
              <w14:schemeClr w14:val="tx1"/>
            </w14:solidFill>
          </w14:textFill>
        </w:rPr>
        <w:t>4.</w:t>
      </w:r>
      <w:r>
        <w:rPr>
          <w:rFonts w:hint="eastAsia" w:ascii="黑体" w:hAnsi="黑体" w:eastAsia="黑体"/>
          <w:b/>
          <w:color w:val="000000" w:themeColor="text1"/>
          <w:highlight w:val="none"/>
          <w14:textFill>
            <w14:solidFill>
              <w14:schemeClr w14:val="tx1"/>
            </w14:solidFill>
          </w14:textFill>
        </w:rPr>
        <w:t>2应答文件的提交</w:t>
      </w:r>
    </w:p>
    <w:p w14:paraId="10160D30">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 xml:space="preserve">.1 </w:t>
      </w:r>
      <w:r>
        <w:rPr>
          <w:rFonts w:hint="eastAsia" w:ascii="宋体" w:hAnsi="宋体"/>
          <w:color w:val="000000" w:themeColor="text1"/>
          <w:highlight w:val="none"/>
          <w14:textFill>
            <w14:solidFill>
              <w14:schemeClr w14:val="tx1"/>
            </w14:solidFill>
          </w14:textFill>
        </w:rPr>
        <w:t>应答人应在</w:t>
      </w:r>
      <w:r>
        <w:rPr>
          <w:rFonts w:hint="eastAsia"/>
          <w:color w:val="000000" w:themeColor="text1"/>
          <w:highlight w:val="none"/>
          <w14:textFill>
            <w14:solidFill>
              <w14:schemeClr w14:val="tx1"/>
            </w14:solidFill>
          </w14:textFill>
        </w:rPr>
        <w:t>采购文件</w:t>
      </w:r>
      <w:r>
        <w:rPr>
          <w:rFonts w:hint="eastAsia" w:ascii="宋体" w:hAnsi="宋体"/>
          <w:color w:val="000000" w:themeColor="text1"/>
          <w:highlight w:val="none"/>
          <w14:textFill>
            <w14:solidFill>
              <w14:schemeClr w14:val="tx1"/>
            </w14:solidFill>
          </w14:textFill>
        </w:rPr>
        <w:t>规定的应答截止时间前提交应答文件。</w:t>
      </w:r>
    </w:p>
    <w:p w14:paraId="723C8E49">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 xml:space="preserve">.2 </w:t>
      </w:r>
      <w:r>
        <w:rPr>
          <w:rFonts w:hint="eastAsia" w:ascii="宋体" w:hAnsi="宋体"/>
          <w:color w:val="000000" w:themeColor="text1"/>
          <w:highlight w:val="none"/>
          <w14:textFill>
            <w14:solidFill>
              <w14:schemeClr w14:val="tx1"/>
            </w14:solidFill>
          </w14:textFill>
        </w:rPr>
        <w:t>应答人所提交的应答文件不予退还。</w:t>
      </w:r>
    </w:p>
    <w:p w14:paraId="3BDF1234">
      <w:pPr>
        <w:pStyle w:val="14"/>
        <w:adjustRightInd w:val="0"/>
        <w:snapToGrid w:val="0"/>
        <w:spacing w:after="0" w:line="400" w:lineRule="exact"/>
        <w:ind w:firstLineChars="200"/>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3应答文件提交时间以</w:t>
      </w:r>
      <w:r>
        <w:rPr>
          <w:rFonts w:hint="eastAsia" w:ascii="宋体" w:hAnsi="宋体"/>
          <w:color w:val="000000" w:themeColor="text1"/>
          <w:highlight w:val="none"/>
          <w:lang w:eastAsia="zh-CN"/>
          <w14:textFill>
            <w14:solidFill>
              <w14:schemeClr w14:val="tx1"/>
            </w14:solidFill>
          </w14:textFill>
        </w:rPr>
        <w:t>招标人</w:t>
      </w:r>
      <w:r>
        <w:rPr>
          <w:rFonts w:hint="default" w:ascii="宋体" w:hAnsi="宋体"/>
          <w:color w:val="000000" w:themeColor="text1"/>
          <w:highlight w:val="none"/>
          <w:lang w:eastAsia="zh-CN"/>
          <w14:textFill>
            <w14:solidFill>
              <w14:schemeClr w14:val="tx1"/>
            </w14:solidFill>
          </w14:textFill>
        </w:rPr>
        <w:t>收到</w:t>
      </w:r>
      <w:r>
        <w:rPr>
          <w:rFonts w:hint="eastAsia" w:ascii="宋体" w:hAnsi="宋体"/>
          <w:color w:val="000000" w:themeColor="text1"/>
          <w:highlight w:val="none"/>
          <w14:textFill>
            <w14:solidFill>
              <w14:schemeClr w14:val="tx1"/>
            </w14:solidFill>
          </w14:textFill>
        </w:rPr>
        <w:t>时间为准。</w:t>
      </w:r>
    </w:p>
    <w:p w14:paraId="0D5EF235">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r>
        <w:rPr>
          <w:rFonts w:ascii="黑体" w:hAnsi="黑体" w:eastAsia="黑体"/>
          <w:b/>
          <w:color w:val="000000" w:themeColor="text1"/>
          <w:highlight w:val="none"/>
          <w14:textFill>
            <w14:solidFill>
              <w14:schemeClr w14:val="tx1"/>
            </w14:solidFill>
          </w14:textFill>
        </w:rPr>
        <w:t>4.3</w:t>
      </w:r>
      <w:r>
        <w:rPr>
          <w:rFonts w:hint="eastAsia" w:ascii="黑体" w:hAnsi="黑体" w:eastAsia="黑体"/>
          <w:b/>
          <w:color w:val="000000" w:themeColor="text1"/>
          <w:highlight w:val="none"/>
          <w14:textFill>
            <w14:solidFill>
              <w14:schemeClr w14:val="tx1"/>
            </w14:solidFill>
          </w14:textFill>
        </w:rPr>
        <w:t>应答文件的撤回</w:t>
      </w:r>
    </w:p>
    <w:p w14:paraId="4E465F0B">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在本章第</w:t>
      </w:r>
      <w:r>
        <w:rPr>
          <w:rFonts w:ascii="宋体" w:hAnsi="宋体"/>
          <w:color w:val="000000" w:themeColor="text1"/>
          <w:highlight w:val="none"/>
          <w14:textFill>
            <w14:solidFill>
              <w14:schemeClr w14:val="tx1"/>
            </w14:solidFill>
          </w14:textFill>
        </w:rPr>
        <w:t xml:space="preserve"> 4.2.1 </w:t>
      </w:r>
      <w:r>
        <w:rPr>
          <w:rFonts w:hint="eastAsia" w:ascii="宋体" w:hAnsi="宋体"/>
          <w:color w:val="000000" w:themeColor="text1"/>
          <w:highlight w:val="none"/>
          <w14:textFill>
            <w14:solidFill>
              <w14:schemeClr w14:val="tx1"/>
            </w14:solidFill>
          </w14:textFill>
        </w:rPr>
        <w:t>项规定的应答截止时间前，应答人可以</w:t>
      </w:r>
      <w:r>
        <w:rPr>
          <w:rFonts w:hint="default" w:ascii="宋体" w:hAnsi="宋体"/>
          <w:color w:val="000000" w:themeColor="text1"/>
          <w:highlight w:val="none"/>
          <w14:textFill>
            <w14:solidFill>
              <w14:schemeClr w14:val="tx1"/>
            </w14:solidFill>
          </w14:textFill>
        </w:rPr>
        <w:t>替换</w:t>
      </w:r>
      <w:r>
        <w:rPr>
          <w:rFonts w:hint="eastAsia" w:ascii="宋体" w:hAnsi="宋体"/>
          <w:color w:val="000000" w:themeColor="text1"/>
          <w:highlight w:val="none"/>
          <w14:textFill>
            <w14:solidFill>
              <w14:schemeClr w14:val="tx1"/>
            </w14:solidFill>
          </w14:textFill>
        </w:rPr>
        <w:t>或撤回已提交的应答文件。</w:t>
      </w:r>
    </w:p>
    <w:p w14:paraId="1E6AC744">
      <w:pPr>
        <w:numPr>
          <w:ilvl w:val="0"/>
          <w:numId w:val="2"/>
        </w:numPr>
        <w:adjustRightInd w:val="0"/>
        <w:snapToGrid w:val="0"/>
        <w:spacing w:before="317" w:beforeLines="100" w:after="158" w:afterLines="50" w:line="400" w:lineRule="exact"/>
        <w:ind w:firstLine="482" w:firstLineChars="0"/>
        <w:outlineLvl w:val="1"/>
        <w:rPr>
          <w:rFonts w:eastAsia="黑体"/>
          <w:b/>
          <w:color w:val="000000" w:themeColor="text1"/>
          <w:sz w:val="24"/>
          <w:highlight w:val="none"/>
          <w14:textFill>
            <w14:solidFill>
              <w14:schemeClr w14:val="tx1"/>
            </w14:solidFill>
          </w14:textFill>
        </w:rPr>
      </w:pPr>
      <w:bookmarkStart w:id="51" w:name="_Toc18243"/>
      <w:bookmarkStart w:id="52" w:name="_Toc15969"/>
      <w:bookmarkStart w:id="53" w:name="_Toc62566169"/>
      <w:r>
        <w:rPr>
          <w:rFonts w:hint="eastAsia" w:eastAsia="黑体"/>
          <w:b/>
          <w:color w:val="000000" w:themeColor="text1"/>
          <w:sz w:val="24"/>
          <w:highlight w:val="none"/>
          <w14:textFill>
            <w14:solidFill>
              <w14:schemeClr w14:val="tx1"/>
            </w14:solidFill>
          </w14:textFill>
        </w:rPr>
        <w:t>报价开启</w:t>
      </w:r>
      <w:bookmarkEnd w:id="51"/>
      <w:bookmarkEnd w:id="52"/>
      <w:bookmarkEnd w:id="53"/>
    </w:p>
    <w:p w14:paraId="38006896">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采购人在首次和各轮应答报价提交截止时间（报价开启时间）后在评审现场进行内部报价开启，整个过程由监察人员监督。</w:t>
      </w:r>
    </w:p>
    <w:p w14:paraId="3C65E07C">
      <w:pPr>
        <w:numPr>
          <w:ilvl w:val="0"/>
          <w:numId w:val="2"/>
        </w:numPr>
        <w:adjustRightInd w:val="0"/>
        <w:snapToGrid w:val="0"/>
        <w:spacing w:before="317" w:beforeLines="100" w:after="158" w:afterLines="50" w:line="400" w:lineRule="exact"/>
        <w:ind w:firstLine="482" w:firstLineChars="0"/>
        <w:outlineLvl w:val="1"/>
        <w:rPr>
          <w:rFonts w:eastAsia="黑体"/>
          <w:b/>
          <w:color w:val="000000" w:themeColor="text1"/>
          <w:sz w:val="24"/>
          <w:highlight w:val="none"/>
          <w14:textFill>
            <w14:solidFill>
              <w14:schemeClr w14:val="tx1"/>
            </w14:solidFill>
          </w14:textFill>
        </w:rPr>
      </w:pPr>
      <w:bookmarkStart w:id="54" w:name="_Toc10825"/>
      <w:bookmarkStart w:id="55" w:name="_Toc12362"/>
      <w:bookmarkStart w:id="56" w:name="_Toc62566170"/>
      <w:r>
        <w:rPr>
          <w:rFonts w:hint="eastAsia" w:eastAsia="黑体"/>
          <w:b/>
          <w:color w:val="000000" w:themeColor="text1"/>
          <w:sz w:val="24"/>
          <w:highlight w:val="none"/>
          <w14:textFill>
            <w14:solidFill>
              <w14:schemeClr w14:val="tx1"/>
            </w14:solidFill>
          </w14:textFill>
        </w:rPr>
        <w:t>评审</w:t>
      </w:r>
      <w:bookmarkEnd w:id="54"/>
      <w:bookmarkEnd w:id="55"/>
      <w:bookmarkEnd w:id="56"/>
    </w:p>
    <w:p w14:paraId="1310B88A">
      <w:pPr>
        <w:adjustRightInd w:val="0"/>
        <w:snapToGrid w:val="0"/>
        <w:spacing w:line="400" w:lineRule="exact"/>
        <w:ind w:firstLine="482" w:firstLineChars="200"/>
        <w:outlineLvl w:val="2"/>
        <w:rPr>
          <w:rFonts w:hint="default" w:ascii="黑体" w:hAnsi="黑体" w:eastAsia="黑体"/>
          <w:b/>
          <w:color w:val="000000" w:themeColor="text1"/>
          <w:highlight w:val="none"/>
          <w14:textFill>
            <w14:solidFill>
              <w14:schemeClr w14:val="tx1"/>
            </w14:solidFill>
          </w14:textFill>
        </w:rPr>
      </w:pPr>
      <w:bookmarkStart w:id="57" w:name="_Toc62566171"/>
      <w:r>
        <w:rPr>
          <w:rFonts w:hint="eastAsia" w:ascii="黑体" w:hAnsi="黑体" w:eastAsia="黑体"/>
          <w:b/>
          <w:color w:val="000000" w:themeColor="text1"/>
          <w:highlight w:val="none"/>
          <w14:textFill>
            <w14:solidFill>
              <w14:schemeClr w14:val="tx1"/>
            </w14:solidFill>
          </w14:textFill>
        </w:rPr>
        <w:t xml:space="preserve">6.1 </w:t>
      </w:r>
      <w:bookmarkEnd w:id="57"/>
      <w:r>
        <w:rPr>
          <w:rFonts w:hint="default" w:ascii="黑体" w:hAnsi="黑体" w:eastAsia="黑体"/>
          <w:b/>
          <w:color w:val="000000" w:themeColor="text1"/>
          <w:highlight w:val="none"/>
          <w14:textFill>
            <w14:solidFill>
              <w14:schemeClr w14:val="tx1"/>
            </w14:solidFill>
          </w14:textFill>
        </w:rPr>
        <w:t>评审小组</w:t>
      </w:r>
    </w:p>
    <w:p w14:paraId="04E4EF5C">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6.1.1 评审由采购人组建的</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负责。</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由采购人熟悉相关业务的代表，以及有关技术、经济等方面的专家组成。</w:t>
      </w:r>
    </w:p>
    <w:p w14:paraId="2A163A32">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6.1.2 </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成员有下列情形之一的，应当回避：</w:t>
      </w:r>
    </w:p>
    <w:p w14:paraId="04E6EB1C">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（1）应答人或应答人的主要负责人的近亲属；</w:t>
      </w:r>
    </w:p>
    <w:p w14:paraId="3695830F">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（2）项目主管部门或者行政监督部门的人员；</w:t>
      </w:r>
    </w:p>
    <w:p w14:paraId="7C578434">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（3）与应答人有经济利益关系，可能影响对应答公正评审的；</w:t>
      </w:r>
    </w:p>
    <w:p w14:paraId="4E526324">
      <w:pPr>
        <w:adjustRightInd w:val="0"/>
        <w:snapToGrid w:val="0"/>
        <w:spacing w:line="400" w:lineRule="exact"/>
        <w:ind w:firstLine="48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（4）曾因在采购、评审以及其他与采购有关活动中从事违法行为而受过行政处罚或刑事处罚的</w:t>
      </w:r>
      <w:r>
        <w:rPr>
          <w:rFonts w:hint="eastAsia" w:ascii="宋体" w:hAnsi="宋体"/>
          <w:color w:val="000000" w:themeColor="text1"/>
          <w:highlight w:val="none"/>
          <w:lang w:eastAsia="zh-CN"/>
          <w14:textFill>
            <w14:solidFill>
              <w14:schemeClr w14:val="tx1"/>
            </w14:solidFill>
          </w14:textFill>
        </w:rPr>
        <w:t>；</w:t>
      </w:r>
    </w:p>
    <w:p w14:paraId="302427E5">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与</w:t>
      </w:r>
      <w:r>
        <w:rPr>
          <w:rFonts w:hint="eastAsia" w:ascii="宋体" w:hAnsi="宋体"/>
          <w:color w:val="000000" w:themeColor="text1"/>
          <w:highlight w:val="none"/>
          <w14:textFill>
            <w14:solidFill>
              <w14:schemeClr w14:val="tx1"/>
            </w14:solidFill>
          </w14:textFill>
        </w:rPr>
        <w:t>应答</w:t>
      </w:r>
      <w:r>
        <w:rPr>
          <w:rFonts w:hint="eastAsia"/>
          <w:color w:val="000000" w:themeColor="text1"/>
          <w:highlight w:val="none"/>
          <w14:textFill>
            <w14:solidFill>
              <w14:schemeClr w14:val="tx1"/>
            </w14:solidFill>
          </w14:textFill>
        </w:rPr>
        <w:t>人有其他利害关系。</w:t>
      </w:r>
    </w:p>
    <w:p w14:paraId="5F78358C">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58" w:name="_Toc62566172"/>
      <w:r>
        <w:rPr>
          <w:rFonts w:hint="eastAsia" w:ascii="黑体" w:hAnsi="黑体" w:eastAsia="黑体"/>
          <w:b/>
          <w:color w:val="000000" w:themeColor="text1"/>
          <w:highlight w:val="none"/>
          <w14:textFill>
            <w14:solidFill>
              <w14:schemeClr w14:val="tx1"/>
            </w14:solidFill>
          </w14:textFill>
        </w:rPr>
        <w:t>6.2 评审原则</w:t>
      </w:r>
      <w:bookmarkEnd w:id="58"/>
    </w:p>
    <w:p w14:paraId="5C0A0F0B">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评审活动遵循公平、公正、科学和择优的原则。</w:t>
      </w:r>
    </w:p>
    <w:p w14:paraId="75DC8E57">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59" w:name="_Toc62566173"/>
      <w:r>
        <w:rPr>
          <w:rFonts w:hint="eastAsia" w:ascii="黑体" w:hAnsi="黑体" w:eastAsia="黑体"/>
          <w:b/>
          <w:color w:val="000000" w:themeColor="text1"/>
          <w:highlight w:val="none"/>
          <w14:textFill>
            <w14:solidFill>
              <w14:schemeClr w14:val="tx1"/>
            </w14:solidFill>
          </w14:textFill>
        </w:rPr>
        <w:t>6.3 评审办法</w:t>
      </w:r>
      <w:bookmarkEnd w:id="59"/>
    </w:p>
    <w:p w14:paraId="34DFB2B5">
      <w:pPr>
        <w:adjustRightInd w:val="0"/>
        <w:snapToGrid w:val="0"/>
        <w:spacing w:line="400" w:lineRule="exact"/>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本次评审采用综合评估法。</w:t>
      </w:r>
      <w:r>
        <w:rPr>
          <w:rFonts w:hint="default" w:ascii="宋体" w:hAnsi="宋体" w:cs="Arial"/>
          <w:color w:val="000000" w:themeColor="text1"/>
          <w:szCs w:val="21"/>
          <w:highlight w:val="none"/>
          <w14:textFill>
            <w14:solidFill>
              <w14:schemeClr w14:val="tx1"/>
            </w14:solidFill>
          </w14:textFill>
        </w:rPr>
        <w:t>评审小组</w:t>
      </w:r>
      <w:r>
        <w:rPr>
          <w:rFonts w:hint="eastAsia" w:ascii="宋体" w:hAnsi="宋体" w:cs="Arial"/>
          <w:color w:val="000000" w:themeColor="text1"/>
          <w:szCs w:val="21"/>
          <w:highlight w:val="none"/>
          <w14:textFill>
            <w14:solidFill>
              <w14:schemeClr w14:val="tx1"/>
            </w14:solidFill>
          </w14:textFill>
        </w:rPr>
        <w:t>对满足采购文件实质要求的</w:t>
      </w:r>
      <w:r>
        <w:rPr>
          <w:rFonts w:hint="eastAsia" w:ascii="宋体" w:hAnsi="宋体" w:cs="Arial"/>
          <w:color w:val="000000" w:themeColor="text1"/>
          <w:szCs w:val="21"/>
          <w:highlight w:val="none"/>
          <w:lang w:val="en-US" w:eastAsia="zh-CN"/>
          <w14:textFill>
            <w14:solidFill>
              <w14:schemeClr w14:val="tx1"/>
            </w14:solidFill>
          </w14:textFill>
        </w:rPr>
        <w:t>应答</w:t>
      </w:r>
      <w:r>
        <w:rPr>
          <w:rFonts w:hint="eastAsia" w:ascii="宋体" w:hAnsi="宋体" w:cs="Arial"/>
          <w:color w:val="000000" w:themeColor="text1"/>
          <w:szCs w:val="21"/>
          <w:highlight w:val="none"/>
          <w14:textFill>
            <w14:solidFill>
              <w14:schemeClr w14:val="tx1"/>
            </w14:solidFill>
          </w14:textFill>
        </w:rPr>
        <w:t>文件，按照本章第6.7款规定的评分标准进行评审打分，按照评审得分由高到低排序，依法推荐成交候选人。评审得分相等时，以技术评审得分较高为优先；技术评审得分也相等时，以最终应答报价低者的优先；技术评审得分和最终应答报价都相等的，由采购人自行确定。</w:t>
      </w:r>
    </w:p>
    <w:p w14:paraId="1B1C689D">
      <w:pPr>
        <w:adjustRightInd w:val="0"/>
        <w:snapToGrid w:val="0"/>
        <w:spacing w:line="400" w:lineRule="exact"/>
        <w:ind w:firstLine="482" w:firstLineChars="200"/>
        <w:outlineLvl w:val="2"/>
        <w:rPr>
          <w:rFonts w:ascii="黑体" w:hAnsi="黑体" w:eastAsia="黑体"/>
          <w:b/>
          <w:color w:val="000000" w:themeColor="text1"/>
          <w:szCs w:val="21"/>
          <w:highlight w:val="none"/>
          <w14:textFill>
            <w14:solidFill>
              <w14:schemeClr w14:val="tx1"/>
            </w14:solidFill>
          </w14:textFill>
        </w:rPr>
      </w:pPr>
      <w:bookmarkStart w:id="60" w:name="_Toc62566174"/>
      <w:r>
        <w:rPr>
          <w:rFonts w:hint="eastAsia" w:ascii="黑体" w:hAnsi="黑体" w:eastAsia="黑体"/>
          <w:b/>
          <w:color w:val="000000" w:themeColor="text1"/>
          <w:highlight w:val="none"/>
          <w14:textFill>
            <w14:solidFill>
              <w14:schemeClr w14:val="tx1"/>
            </w14:solidFill>
          </w14:textFill>
        </w:rPr>
        <w:t>6.4</w:t>
      </w:r>
      <w:r>
        <w:rPr>
          <w:rFonts w:hint="eastAsia" w:ascii="黑体" w:hAnsi="黑体" w:eastAsia="黑体"/>
          <w:b/>
          <w:color w:val="000000" w:themeColor="text1"/>
          <w:szCs w:val="21"/>
          <w:highlight w:val="none"/>
          <w14:textFill>
            <w14:solidFill>
              <w14:schemeClr w14:val="tx1"/>
            </w14:solidFill>
          </w14:textFill>
        </w:rPr>
        <w:t xml:space="preserve"> 推荐</w:t>
      </w:r>
      <w:r>
        <w:rPr>
          <w:rFonts w:hint="eastAsia" w:ascii="黑体" w:hAnsi="黑体" w:eastAsia="黑体" w:cs="宋体"/>
          <w:b/>
          <w:bCs/>
          <w:color w:val="000000" w:themeColor="text1"/>
          <w:kern w:val="0"/>
          <w:szCs w:val="21"/>
          <w:highlight w:val="none"/>
          <w14:textFill>
            <w14:solidFill>
              <w14:schemeClr w14:val="tx1"/>
            </w14:solidFill>
          </w14:textFill>
        </w:rPr>
        <w:t>成交</w:t>
      </w:r>
      <w:r>
        <w:rPr>
          <w:rFonts w:hint="eastAsia" w:ascii="黑体" w:hAnsi="黑体" w:eastAsia="黑体"/>
          <w:b/>
          <w:color w:val="000000" w:themeColor="text1"/>
          <w:szCs w:val="21"/>
          <w:highlight w:val="none"/>
          <w14:textFill>
            <w14:solidFill>
              <w14:schemeClr w14:val="tx1"/>
            </w14:solidFill>
          </w14:textFill>
        </w:rPr>
        <w:t>的限制</w:t>
      </w:r>
      <w:bookmarkEnd w:id="60"/>
    </w:p>
    <w:p w14:paraId="2C10B8B9">
      <w:pPr>
        <w:adjustRightInd w:val="0"/>
        <w:snapToGrid w:val="0"/>
        <w:spacing w:line="400" w:lineRule="exact"/>
        <w:ind w:firstLine="48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采购人根据潜在应答人数量及其资格能力和生产要素配置，在保证充分竞争的前提下，就同一应答人同时成交多个合同包个数或者合同标的数量作出规定。</w:t>
      </w:r>
      <w:r>
        <w:rPr>
          <w:rFonts w:hint="eastAsia" w:cs="Arial"/>
          <w:color w:val="000000" w:themeColor="text1"/>
          <w:szCs w:val="21"/>
          <w:highlight w:val="none"/>
          <w14:textFill>
            <w14:solidFill>
              <w14:schemeClr w14:val="tx1"/>
            </w14:solidFill>
          </w14:textFill>
        </w:rPr>
        <w:t>同时成交最多数量见应答人须知前附表。</w:t>
      </w:r>
    </w:p>
    <w:p w14:paraId="53276C07">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61" w:name="_Toc62566175"/>
      <w:r>
        <w:rPr>
          <w:rFonts w:hint="eastAsia" w:ascii="黑体" w:hAnsi="黑体" w:eastAsia="黑体"/>
          <w:b/>
          <w:color w:val="000000" w:themeColor="text1"/>
          <w:highlight w:val="none"/>
          <w14:textFill>
            <w14:solidFill>
              <w14:schemeClr w14:val="tx1"/>
            </w14:solidFill>
          </w14:textFill>
        </w:rPr>
        <w:t xml:space="preserve">6.5 </w:t>
      </w:r>
      <w:r>
        <w:rPr>
          <w:rFonts w:hint="eastAsia" w:ascii="黑体" w:hAnsi="黑体" w:eastAsia="黑体"/>
          <w:b/>
          <w:color w:val="000000" w:themeColor="text1"/>
          <w:szCs w:val="21"/>
          <w:highlight w:val="none"/>
          <w14:textFill>
            <w14:solidFill>
              <w14:schemeClr w14:val="tx1"/>
            </w14:solidFill>
          </w14:textFill>
        </w:rPr>
        <w:t>初步评审</w:t>
      </w:r>
      <w:bookmarkEnd w:id="61"/>
    </w:p>
    <w:p w14:paraId="1DB6E4EB">
      <w:pPr>
        <w:adjustRightInd w:val="0"/>
        <w:snapToGrid w:val="0"/>
        <w:spacing w:line="400" w:lineRule="exact"/>
        <w:ind w:firstLine="48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6.5.1</w:t>
      </w:r>
      <w:r>
        <w:rPr>
          <w:rFonts w:hint="default" w:ascii="宋体" w:hAnsi="宋体" w:cs="宋体"/>
          <w:color w:val="000000" w:themeColor="text1"/>
          <w:kern w:val="0"/>
          <w:szCs w:val="21"/>
          <w:highlight w:val="none"/>
          <w14:textFill>
            <w14:solidFill>
              <w14:schemeClr w14:val="tx1"/>
            </w14:solidFill>
          </w14:textFill>
        </w:rPr>
        <w:t>评审小组</w:t>
      </w:r>
      <w:r>
        <w:rPr>
          <w:rFonts w:hint="eastAsia" w:ascii="宋体" w:hAnsi="宋体" w:cs="宋体"/>
          <w:color w:val="000000" w:themeColor="text1"/>
          <w:kern w:val="0"/>
          <w:szCs w:val="21"/>
          <w:highlight w:val="none"/>
          <w14:textFill>
            <w14:solidFill>
              <w14:schemeClr w14:val="tx1"/>
            </w14:solidFill>
          </w14:textFill>
        </w:rPr>
        <w:t>可以要求应答人提交采购文件要求的有关证明和证件的原件，以便核验。</w:t>
      </w:r>
    </w:p>
    <w:p w14:paraId="4BC9E9BF">
      <w:pPr>
        <w:pStyle w:val="14"/>
        <w:adjustRightInd w:val="0"/>
        <w:snapToGrid w:val="0"/>
        <w:spacing w:after="0" w:line="400" w:lineRule="exact"/>
        <w:ind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6.5.2</w:t>
      </w:r>
      <w:r>
        <w:rPr>
          <w:rFonts w:hint="eastAsia"/>
          <w:color w:val="000000" w:themeColor="text1"/>
          <w:szCs w:val="21"/>
          <w:highlight w:val="none"/>
          <w14:textFill>
            <w14:solidFill>
              <w14:schemeClr w14:val="tx1"/>
            </w14:solidFill>
          </w14:textFill>
        </w:rPr>
        <w:t>经谈判或澄清，应答人有下列情形之一的，其应答将被否决：</w:t>
      </w:r>
    </w:p>
    <w:tbl>
      <w:tblPr>
        <w:tblStyle w:val="16"/>
        <w:tblW w:w="852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47"/>
        <w:gridCol w:w="6570"/>
      </w:tblGrid>
      <w:tr w14:paraId="72A0EC7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3FD8B58C">
            <w:pPr>
              <w:adjustRightInd w:val="0"/>
              <w:snapToGrid w:val="0"/>
              <w:spacing w:before="158" w:beforeLines="50" w:after="10"/>
              <w:jc w:val="center"/>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目号</w:t>
            </w:r>
          </w:p>
        </w:tc>
        <w:tc>
          <w:tcPr>
            <w:tcW w:w="1147" w:type="dxa"/>
            <w:vAlign w:val="center"/>
          </w:tcPr>
          <w:p w14:paraId="01B6FC82">
            <w:pPr>
              <w:adjustRightInd w:val="0"/>
              <w:snapToGrid w:val="0"/>
              <w:spacing w:before="158" w:beforeLines="50" w:after="10"/>
              <w:jc w:val="center"/>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否决情形</w:t>
            </w:r>
          </w:p>
        </w:tc>
        <w:tc>
          <w:tcPr>
            <w:tcW w:w="6570" w:type="dxa"/>
            <w:vAlign w:val="center"/>
          </w:tcPr>
          <w:p w14:paraId="0D4163F3">
            <w:pPr>
              <w:adjustRightInd w:val="0"/>
              <w:snapToGrid w:val="0"/>
              <w:spacing w:before="158" w:beforeLines="50" w:after="10"/>
              <w:jc w:val="center"/>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否决事项</w:t>
            </w:r>
          </w:p>
        </w:tc>
      </w:tr>
      <w:tr w14:paraId="7411E67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63A9AC47">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47" w:type="dxa"/>
            <w:vAlign w:val="center"/>
          </w:tcPr>
          <w:p w14:paraId="6DC962E8">
            <w:pPr>
              <w:adjustRightInd w:val="0"/>
              <w:snapToGrid w:val="0"/>
              <w:spacing w:before="158" w:beforeLines="50" w:after="10"/>
              <w:jc w:val="center"/>
              <w:rPr>
                <w:rFonts w:ascii="宋体" w:hAnsi="宋体"/>
                <w:color w:val="auto"/>
                <w:szCs w:val="21"/>
                <w:highlight w:val="none"/>
              </w:rPr>
            </w:pPr>
            <w:r>
              <w:rPr>
                <w:rFonts w:hint="eastAsia"/>
                <w:color w:val="auto"/>
                <w:highlight w:val="none"/>
              </w:rPr>
              <w:t>主体不符</w:t>
            </w:r>
          </w:p>
        </w:tc>
        <w:tc>
          <w:tcPr>
            <w:tcW w:w="6570" w:type="dxa"/>
            <w:vAlign w:val="center"/>
          </w:tcPr>
          <w:p w14:paraId="2023005D">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为采购人不具备独立法人资格的附属机构（单位）的。</w:t>
            </w:r>
          </w:p>
        </w:tc>
      </w:tr>
      <w:tr w14:paraId="33B79D5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64DFA40E">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47" w:type="dxa"/>
            <w:vAlign w:val="center"/>
          </w:tcPr>
          <w:p w14:paraId="191214B8">
            <w:pPr>
              <w:adjustRightInd w:val="0"/>
              <w:snapToGrid w:val="0"/>
              <w:spacing w:before="158" w:beforeLines="50" w:after="10"/>
              <w:jc w:val="center"/>
              <w:rPr>
                <w:rFonts w:ascii="宋体" w:hAnsi="宋体"/>
                <w:color w:val="auto"/>
                <w:szCs w:val="21"/>
                <w:highlight w:val="none"/>
              </w:rPr>
            </w:pPr>
            <w:r>
              <w:rPr>
                <w:rFonts w:hint="eastAsia"/>
                <w:color w:val="auto"/>
                <w:highlight w:val="none"/>
              </w:rPr>
              <w:t>主体不符</w:t>
            </w:r>
          </w:p>
        </w:tc>
        <w:tc>
          <w:tcPr>
            <w:tcW w:w="6570" w:type="dxa"/>
            <w:vAlign w:val="center"/>
          </w:tcPr>
          <w:p w14:paraId="6493DFE6">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与采购人存在利害关系且可能影响采购公正性的。</w:t>
            </w:r>
          </w:p>
        </w:tc>
      </w:tr>
      <w:tr w14:paraId="7445E21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2614D6EC">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47" w:type="dxa"/>
            <w:vAlign w:val="center"/>
          </w:tcPr>
          <w:p w14:paraId="4D796D3D">
            <w:pPr>
              <w:adjustRightInd w:val="0"/>
              <w:snapToGrid w:val="0"/>
              <w:spacing w:before="158" w:beforeLines="50" w:after="10"/>
              <w:jc w:val="center"/>
              <w:rPr>
                <w:rFonts w:ascii="宋体" w:hAnsi="宋体"/>
                <w:color w:val="auto"/>
                <w:szCs w:val="21"/>
                <w:highlight w:val="none"/>
              </w:rPr>
            </w:pPr>
            <w:r>
              <w:rPr>
                <w:rFonts w:hint="eastAsia"/>
                <w:color w:val="auto"/>
                <w:highlight w:val="none"/>
              </w:rPr>
              <w:t>主体不符</w:t>
            </w:r>
          </w:p>
        </w:tc>
        <w:tc>
          <w:tcPr>
            <w:tcW w:w="6570" w:type="dxa"/>
            <w:vAlign w:val="center"/>
          </w:tcPr>
          <w:p w14:paraId="4FDCF4F7">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为本采购项目代建人的。</w:t>
            </w:r>
          </w:p>
        </w:tc>
      </w:tr>
      <w:tr w14:paraId="2119D52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3EAF047D">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147" w:type="dxa"/>
            <w:vAlign w:val="center"/>
          </w:tcPr>
          <w:p w14:paraId="35AF609D">
            <w:pPr>
              <w:adjustRightInd w:val="0"/>
              <w:snapToGrid w:val="0"/>
              <w:spacing w:before="158" w:beforeLines="50" w:after="10"/>
              <w:jc w:val="center"/>
              <w:rPr>
                <w:rFonts w:ascii="宋体" w:hAnsi="宋体"/>
                <w:color w:val="auto"/>
                <w:szCs w:val="21"/>
                <w:highlight w:val="none"/>
              </w:rPr>
            </w:pPr>
            <w:r>
              <w:rPr>
                <w:rFonts w:hint="eastAsia"/>
                <w:color w:val="auto"/>
                <w:highlight w:val="none"/>
              </w:rPr>
              <w:t>主体不符</w:t>
            </w:r>
          </w:p>
        </w:tc>
        <w:tc>
          <w:tcPr>
            <w:tcW w:w="6570" w:type="dxa"/>
            <w:vAlign w:val="center"/>
          </w:tcPr>
          <w:p w14:paraId="2E00E029">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为本采购项目的采购代理机构的。</w:t>
            </w:r>
          </w:p>
        </w:tc>
      </w:tr>
      <w:tr w14:paraId="21B4DD6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BF149FF">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1147" w:type="dxa"/>
            <w:vAlign w:val="center"/>
          </w:tcPr>
          <w:p w14:paraId="1F02B661">
            <w:pPr>
              <w:adjustRightInd w:val="0"/>
              <w:snapToGrid w:val="0"/>
              <w:spacing w:before="158" w:beforeLines="50" w:after="10"/>
              <w:jc w:val="center"/>
              <w:rPr>
                <w:rFonts w:ascii="宋体" w:hAnsi="宋体"/>
                <w:color w:val="auto"/>
                <w:szCs w:val="21"/>
                <w:highlight w:val="none"/>
              </w:rPr>
            </w:pPr>
            <w:r>
              <w:rPr>
                <w:rFonts w:hint="eastAsia"/>
                <w:color w:val="auto"/>
                <w:highlight w:val="none"/>
              </w:rPr>
              <w:t>主体不符</w:t>
            </w:r>
          </w:p>
        </w:tc>
        <w:tc>
          <w:tcPr>
            <w:tcW w:w="6570" w:type="dxa"/>
            <w:vAlign w:val="center"/>
          </w:tcPr>
          <w:p w14:paraId="283A9226">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与本采购项目的代建人或采购代理机构同为同一个单位负责人或法定代表人</w:t>
            </w:r>
            <w:r>
              <w:rPr>
                <w:rFonts w:hint="eastAsia" w:ascii="宋体" w:hAnsi="宋体" w:cs="宋体"/>
                <w:color w:val="000000" w:themeColor="text1"/>
                <w:kern w:val="0"/>
                <w:szCs w:val="21"/>
                <w:highlight w:val="none"/>
                <w14:textFill>
                  <w14:solidFill>
                    <w14:schemeClr w14:val="tx1"/>
                  </w14:solidFill>
                </w14:textFill>
              </w:rPr>
              <w:t>。</w:t>
            </w:r>
          </w:p>
        </w:tc>
      </w:tr>
      <w:tr w14:paraId="5C48A83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3698F834">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1147" w:type="dxa"/>
            <w:vAlign w:val="center"/>
          </w:tcPr>
          <w:p w14:paraId="69BFFC32">
            <w:pPr>
              <w:adjustRightInd w:val="0"/>
              <w:snapToGrid w:val="0"/>
              <w:spacing w:before="158" w:beforeLines="50" w:after="10"/>
              <w:jc w:val="center"/>
              <w:rPr>
                <w:rFonts w:ascii="宋体" w:hAnsi="宋体"/>
                <w:color w:val="auto"/>
                <w:szCs w:val="21"/>
                <w:highlight w:val="none"/>
              </w:rPr>
            </w:pPr>
            <w:r>
              <w:rPr>
                <w:rFonts w:hint="eastAsia" w:ascii="宋体" w:hAnsi="宋体"/>
                <w:color w:val="auto"/>
                <w:szCs w:val="21"/>
                <w:highlight w:val="none"/>
              </w:rPr>
              <w:t>资格不符</w:t>
            </w:r>
          </w:p>
        </w:tc>
        <w:tc>
          <w:tcPr>
            <w:tcW w:w="6570" w:type="dxa"/>
            <w:vAlign w:val="center"/>
          </w:tcPr>
          <w:p w14:paraId="27B2F84F">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不满足本次采购文件要求的应答人专用资格要求的。</w:t>
            </w:r>
          </w:p>
        </w:tc>
      </w:tr>
      <w:tr w14:paraId="64EEA44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40319A8">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1147" w:type="dxa"/>
            <w:vAlign w:val="center"/>
          </w:tcPr>
          <w:p w14:paraId="58A67198">
            <w:pPr>
              <w:adjustRightInd w:val="0"/>
              <w:snapToGrid w:val="0"/>
              <w:spacing w:before="158" w:beforeLines="50" w:after="10"/>
              <w:jc w:val="center"/>
              <w:rPr>
                <w:rFonts w:ascii="宋体" w:hAnsi="宋体" w:cs="宋体"/>
                <w:color w:val="auto"/>
                <w:szCs w:val="21"/>
                <w:highlight w:val="none"/>
              </w:rPr>
            </w:pPr>
            <w:r>
              <w:rPr>
                <w:rFonts w:hint="eastAsia" w:ascii="宋体" w:hAnsi="宋体"/>
                <w:color w:val="auto"/>
                <w:szCs w:val="21"/>
                <w:highlight w:val="none"/>
              </w:rPr>
              <w:t>资格不符</w:t>
            </w:r>
          </w:p>
        </w:tc>
        <w:tc>
          <w:tcPr>
            <w:tcW w:w="6570" w:type="dxa"/>
            <w:vAlign w:val="center"/>
          </w:tcPr>
          <w:p w14:paraId="6C55E7DA">
            <w:pPr>
              <w:adjustRightInd w:val="0"/>
              <w:snapToGrid w:val="0"/>
              <w:spacing w:before="158" w:beforeLines="50" w:after="1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不满足本次采购文件要求的应答人其他资格要求的。</w:t>
            </w:r>
          </w:p>
        </w:tc>
      </w:tr>
      <w:tr w14:paraId="69A1FDA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14:paraId="5B34378A">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147" w:type="dxa"/>
            <w:vAlign w:val="center"/>
          </w:tcPr>
          <w:p w14:paraId="79614E8D">
            <w:pPr>
              <w:adjustRightInd w:val="0"/>
              <w:snapToGrid w:val="0"/>
              <w:spacing w:before="158" w:beforeLines="50" w:after="10"/>
              <w:jc w:val="center"/>
              <w:rPr>
                <w:rFonts w:ascii="宋体" w:hAnsi="宋体"/>
                <w:color w:val="auto"/>
                <w:szCs w:val="21"/>
                <w:highlight w:val="none"/>
              </w:rPr>
            </w:pPr>
            <w:r>
              <w:rPr>
                <w:rFonts w:hint="eastAsia"/>
                <w:color w:val="auto"/>
                <w:highlight w:val="none"/>
              </w:rPr>
              <w:t>主体不符</w:t>
            </w:r>
          </w:p>
        </w:tc>
        <w:tc>
          <w:tcPr>
            <w:tcW w:w="6570" w:type="dxa"/>
            <w:vAlign w:val="center"/>
          </w:tcPr>
          <w:p w14:paraId="41F3D055">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同一标包或者未划分标包的同一采购项目中，与其他应答人的法定代表人或单位负责人为同一人</w:t>
            </w:r>
            <w:r>
              <w:rPr>
                <w:rFonts w:hint="eastAsia" w:ascii="宋体" w:hAnsi="宋体" w:cs="宋体"/>
                <w:color w:val="000000" w:themeColor="text1"/>
                <w:kern w:val="0"/>
                <w:szCs w:val="21"/>
                <w:highlight w:val="none"/>
                <w14:textFill>
                  <w14:solidFill>
                    <w14:schemeClr w14:val="tx1"/>
                  </w14:solidFill>
                </w14:textFill>
              </w:rPr>
              <w:t>的。</w:t>
            </w:r>
          </w:p>
        </w:tc>
      </w:tr>
      <w:tr w14:paraId="4703718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0C5DDF1">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1147" w:type="dxa"/>
            <w:vAlign w:val="center"/>
          </w:tcPr>
          <w:p w14:paraId="3989A7AF">
            <w:pPr>
              <w:adjustRightInd w:val="0"/>
              <w:snapToGrid w:val="0"/>
              <w:spacing w:before="158" w:beforeLines="50" w:after="10"/>
              <w:jc w:val="center"/>
              <w:rPr>
                <w:rFonts w:ascii="宋体" w:hAnsi="宋体" w:cs="宋体"/>
                <w:color w:val="auto"/>
                <w:szCs w:val="21"/>
                <w:highlight w:val="none"/>
              </w:rPr>
            </w:pPr>
            <w:r>
              <w:rPr>
                <w:rFonts w:hint="eastAsia"/>
                <w:color w:val="auto"/>
                <w:highlight w:val="none"/>
              </w:rPr>
              <w:t>主体不符</w:t>
            </w:r>
          </w:p>
        </w:tc>
        <w:tc>
          <w:tcPr>
            <w:tcW w:w="6570" w:type="dxa"/>
            <w:vAlign w:val="center"/>
          </w:tcPr>
          <w:p w14:paraId="40F77EE6">
            <w:pPr>
              <w:adjustRightInd w:val="0"/>
              <w:snapToGrid w:val="0"/>
              <w:spacing w:before="158" w:beforeLines="50" w:after="1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同一标包或者未划分标包的同一采购项目中，与其他应答人存在控股、管理关系的。</w:t>
            </w:r>
          </w:p>
        </w:tc>
      </w:tr>
      <w:tr w14:paraId="0F17B69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3CB0721C">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1147" w:type="dxa"/>
            <w:vAlign w:val="center"/>
          </w:tcPr>
          <w:p w14:paraId="483FF6D4">
            <w:pPr>
              <w:adjustRightInd w:val="0"/>
              <w:snapToGrid w:val="0"/>
              <w:spacing w:before="158" w:beforeLines="50" w:after="10"/>
              <w:jc w:val="center"/>
              <w:rPr>
                <w:rFonts w:ascii="宋体" w:hAnsi="宋体"/>
                <w:color w:val="auto"/>
                <w:szCs w:val="21"/>
                <w:highlight w:val="none"/>
              </w:rPr>
            </w:pPr>
            <w:r>
              <w:rPr>
                <w:rFonts w:hint="eastAsia"/>
                <w:color w:val="auto"/>
                <w:highlight w:val="none"/>
              </w:rPr>
              <w:t>丧失履约能力</w:t>
            </w:r>
          </w:p>
        </w:tc>
        <w:tc>
          <w:tcPr>
            <w:tcW w:w="6570" w:type="dxa"/>
            <w:vAlign w:val="center"/>
          </w:tcPr>
          <w:p w14:paraId="41BE815D">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进入清算程序，或被宣告破产，或其他丧失履约能力的情形</w:t>
            </w:r>
            <w:r>
              <w:rPr>
                <w:rFonts w:hint="eastAsia" w:ascii="宋体" w:hAnsi="宋体" w:cs="宋体"/>
                <w:color w:val="000000" w:themeColor="text1"/>
                <w:kern w:val="0"/>
                <w:szCs w:val="21"/>
                <w:highlight w:val="none"/>
                <w14:textFill>
                  <w14:solidFill>
                    <w14:schemeClr w14:val="tx1"/>
                  </w14:solidFill>
                </w14:textFill>
              </w:rPr>
              <w:t>的。</w:t>
            </w:r>
          </w:p>
        </w:tc>
      </w:tr>
      <w:tr w14:paraId="6C6A62C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266C9B5D">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1147" w:type="dxa"/>
            <w:vAlign w:val="center"/>
          </w:tcPr>
          <w:p w14:paraId="5AC0D1CC">
            <w:pPr>
              <w:adjustRightInd w:val="0"/>
              <w:snapToGrid w:val="0"/>
              <w:spacing w:before="158" w:beforeLines="50" w:after="10"/>
              <w:jc w:val="center"/>
              <w:rPr>
                <w:rFonts w:ascii="宋体" w:hAnsi="宋体" w:cs="宋体"/>
                <w:color w:val="auto"/>
                <w:szCs w:val="21"/>
                <w:highlight w:val="none"/>
              </w:rPr>
            </w:pPr>
            <w:r>
              <w:rPr>
                <w:rFonts w:hint="eastAsia"/>
                <w:color w:val="auto"/>
                <w:highlight w:val="none"/>
              </w:rPr>
              <w:t>失信惩戒</w:t>
            </w:r>
          </w:p>
        </w:tc>
        <w:tc>
          <w:tcPr>
            <w:tcW w:w="6570" w:type="dxa"/>
            <w:vAlign w:val="center"/>
          </w:tcPr>
          <w:p w14:paraId="555DF24B">
            <w:pPr>
              <w:adjustRightInd w:val="0"/>
              <w:snapToGrid w:val="0"/>
              <w:spacing w:before="158" w:beforeLines="50" w:after="1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被市场监督管理机关在国家企业信用信息公示系统中列入</w:t>
            </w:r>
            <w:r>
              <w:rPr>
                <w:rFonts w:hint="eastAsia" w:ascii="宋体" w:hAnsi="宋体" w:cs="宋体"/>
                <w:bCs/>
                <w:color w:val="000000" w:themeColor="text1"/>
                <w:kern w:val="0"/>
                <w:szCs w:val="21"/>
                <w:highlight w:val="none"/>
                <w14:textFill>
                  <w14:solidFill>
                    <w14:schemeClr w14:val="tx1"/>
                  </w14:solidFill>
                </w14:textFill>
              </w:rPr>
              <w:t>严重违法失信企业名单的或列入经营异常名录信息的</w:t>
            </w:r>
            <w:r>
              <w:rPr>
                <w:rFonts w:hint="eastAsia" w:ascii="宋体" w:hAnsi="宋体" w:cs="宋体"/>
                <w:color w:val="000000" w:themeColor="text1"/>
                <w:szCs w:val="21"/>
                <w:highlight w:val="none"/>
                <w14:textFill>
                  <w14:solidFill>
                    <w14:schemeClr w14:val="tx1"/>
                  </w14:solidFill>
                </w14:textFill>
              </w:rPr>
              <w:t>。</w:t>
            </w:r>
          </w:p>
        </w:tc>
      </w:tr>
      <w:tr w14:paraId="0A5A2F9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D65267C">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1147" w:type="dxa"/>
            <w:vAlign w:val="center"/>
          </w:tcPr>
          <w:p w14:paraId="0F21467B">
            <w:pPr>
              <w:adjustRightInd w:val="0"/>
              <w:snapToGrid w:val="0"/>
              <w:spacing w:before="158" w:beforeLines="50" w:after="10"/>
              <w:jc w:val="center"/>
              <w:rPr>
                <w:rFonts w:ascii="宋体" w:hAnsi="宋体" w:cs="宋体"/>
                <w:color w:val="auto"/>
                <w:szCs w:val="21"/>
                <w:highlight w:val="none"/>
              </w:rPr>
            </w:pPr>
            <w:r>
              <w:rPr>
                <w:rFonts w:hint="eastAsia"/>
                <w:color w:val="auto"/>
                <w:highlight w:val="none"/>
              </w:rPr>
              <w:t>失信惩戒</w:t>
            </w:r>
          </w:p>
        </w:tc>
        <w:tc>
          <w:tcPr>
            <w:tcW w:w="6570" w:type="dxa"/>
            <w:vAlign w:val="center"/>
          </w:tcPr>
          <w:p w14:paraId="3B925407">
            <w:pPr>
              <w:adjustRightInd w:val="0"/>
              <w:snapToGrid w:val="0"/>
              <w:spacing w:before="158" w:beforeLines="50" w:after="1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被最高人民法院在“信用中国”网站（</w:t>
            </w:r>
            <w:r>
              <w:rPr>
                <w:rFonts w:ascii="宋体" w:hAnsi="宋体" w:cs="宋体"/>
                <w:color w:val="000000" w:themeColor="text1"/>
                <w:szCs w:val="21"/>
                <w:highlight w:val="none"/>
                <w14:textFill>
                  <w14:solidFill>
                    <w14:schemeClr w14:val="tx1"/>
                  </w14:solidFill>
                </w14:textFill>
              </w:rPr>
              <w:t>www.creditchina.gov.cn）中列入</w:t>
            </w:r>
            <w:r>
              <w:rPr>
                <w:rFonts w:hint="eastAsia" w:ascii="宋体" w:hAnsi="宋体" w:cs="宋体"/>
                <w:color w:val="000000" w:themeColor="text1"/>
                <w:szCs w:val="21"/>
                <w:highlight w:val="none"/>
                <w14:textFill>
                  <w14:solidFill>
                    <w14:schemeClr w14:val="tx1"/>
                  </w14:solidFill>
                </w14:textFill>
              </w:rPr>
              <w:t>严重失信主体名单</w:t>
            </w:r>
            <w:r>
              <w:rPr>
                <w:rFonts w:hint="eastAsia" w:ascii="宋体" w:hAnsi="宋体" w:cs="宋体"/>
                <w:color w:val="000000" w:themeColor="text1"/>
                <w:kern w:val="0"/>
                <w:szCs w:val="21"/>
                <w:highlight w:val="none"/>
                <w14:textFill>
                  <w14:solidFill>
                    <w14:schemeClr w14:val="tx1"/>
                  </w14:solidFill>
                </w14:textFill>
              </w:rPr>
              <w:t>或列入失信被执行人的。（以</w:t>
            </w:r>
            <w:r>
              <w:rPr>
                <w:rFonts w:hint="default" w:ascii="宋体" w:hAnsi="宋体" w:cs="宋体"/>
                <w:color w:val="000000" w:themeColor="text1"/>
                <w:kern w:val="0"/>
                <w:szCs w:val="21"/>
                <w:highlight w:val="none"/>
                <w14:textFill>
                  <w14:solidFill>
                    <w14:schemeClr w14:val="tx1"/>
                  </w14:solidFill>
                </w14:textFill>
              </w:rPr>
              <w:t>评审小组</w:t>
            </w:r>
            <w:r>
              <w:rPr>
                <w:rFonts w:hint="eastAsia" w:ascii="宋体" w:hAnsi="宋体" w:cs="宋体"/>
                <w:color w:val="000000" w:themeColor="text1"/>
                <w:kern w:val="0"/>
                <w:szCs w:val="21"/>
                <w:highlight w:val="none"/>
                <w14:textFill>
                  <w14:solidFill>
                    <w14:schemeClr w14:val="tx1"/>
                  </w14:solidFill>
                </w14:textFill>
              </w:rPr>
              <w:t>在“信用中国”网站（www.creditchina.gov.cn）查询结果为准）</w:t>
            </w:r>
          </w:p>
        </w:tc>
      </w:tr>
      <w:tr w14:paraId="15B0A30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17A47EE7">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1147" w:type="dxa"/>
            <w:shd w:val="clear" w:color="auto" w:fill="auto"/>
            <w:vAlign w:val="center"/>
          </w:tcPr>
          <w:p w14:paraId="3CB0CF5B">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s="宋体"/>
                <w:color w:val="auto"/>
                <w:szCs w:val="21"/>
                <w:highlight w:val="none"/>
              </w:rPr>
              <w:t>资格不符</w:t>
            </w:r>
          </w:p>
        </w:tc>
        <w:tc>
          <w:tcPr>
            <w:tcW w:w="6570" w:type="dxa"/>
            <w:shd w:val="clear" w:color="auto" w:fill="auto"/>
            <w:vAlign w:val="center"/>
          </w:tcPr>
          <w:p w14:paraId="738BB7E7">
            <w:pPr>
              <w:adjustRightInd w:val="0"/>
              <w:snapToGrid w:val="0"/>
              <w:spacing w:before="158" w:beforeLines="50" w:after="10"/>
              <w:rPr>
                <w:rFonts w:hint="eastAsia" w:ascii="宋体" w:hAnsi="宋体" w:cs="宋体" w:eastAsiaTheme="minorEastAsia"/>
                <w:bCs/>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被责令停产停业、暂扣或者吊销许可证、暂扣或者吊销执照的。</w:t>
            </w:r>
          </w:p>
        </w:tc>
      </w:tr>
      <w:tr w14:paraId="065A687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1E0A29CE">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w:t>
            </w:r>
          </w:p>
        </w:tc>
        <w:tc>
          <w:tcPr>
            <w:tcW w:w="1147" w:type="dxa"/>
            <w:shd w:val="clear" w:color="auto" w:fill="auto"/>
            <w:vAlign w:val="top"/>
          </w:tcPr>
          <w:p w14:paraId="70B79527">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olor w:val="auto"/>
                <w:szCs w:val="21"/>
                <w:highlight w:val="none"/>
              </w:rPr>
              <w:t>资格不符</w:t>
            </w:r>
          </w:p>
        </w:tc>
        <w:tc>
          <w:tcPr>
            <w:tcW w:w="6570" w:type="dxa"/>
            <w:shd w:val="clear" w:color="auto" w:fill="auto"/>
            <w:vAlign w:val="center"/>
          </w:tcPr>
          <w:p w14:paraId="533410C4">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应答人名称与营业执照（或事业单位法人证书</w:t>
            </w:r>
            <w:r>
              <w:rPr>
                <w:rFonts w:hint="eastAsia" w:ascii="宋体" w:hAnsi="宋体" w:cs="宋体"/>
                <w:color w:val="auto"/>
                <w:szCs w:val="21"/>
                <w:highlight w:val="none"/>
              </w:rPr>
              <w:t>或其他组织登记证书</w:t>
            </w:r>
            <w:r>
              <w:rPr>
                <w:rFonts w:hint="eastAsia" w:ascii="宋体" w:hAnsi="宋体" w:cs="宋体"/>
                <w:color w:val="000000" w:themeColor="text1"/>
                <w:szCs w:val="21"/>
                <w:highlight w:val="none"/>
                <w14:textFill>
                  <w14:solidFill>
                    <w14:schemeClr w14:val="tx1"/>
                  </w14:solidFill>
                </w14:textFill>
              </w:rPr>
              <w:t>）或资质证书或生产许可证不一致，且未提供相关变更证明</w:t>
            </w:r>
            <w:r>
              <w:rPr>
                <w:rFonts w:hint="eastAsia" w:ascii="宋体" w:hAnsi="宋体" w:cs="宋体"/>
                <w:bCs/>
                <w:color w:val="000000" w:themeColor="text1"/>
                <w:kern w:val="0"/>
                <w:szCs w:val="21"/>
                <w:highlight w:val="none"/>
                <w14:textFill>
                  <w14:solidFill>
                    <w14:schemeClr w14:val="tx1"/>
                  </w14:solidFill>
                </w14:textFill>
              </w:rPr>
              <w:t>的。</w:t>
            </w:r>
          </w:p>
        </w:tc>
      </w:tr>
      <w:tr w14:paraId="696B6AC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4016E530">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1147" w:type="dxa"/>
            <w:shd w:val="clear" w:color="auto" w:fill="auto"/>
            <w:vAlign w:val="center"/>
          </w:tcPr>
          <w:p w14:paraId="63FD621A">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olor w:val="auto"/>
                <w:szCs w:val="21"/>
                <w:highlight w:val="none"/>
              </w:rPr>
              <w:t>资格不符</w:t>
            </w:r>
          </w:p>
        </w:tc>
        <w:tc>
          <w:tcPr>
            <w:tcW w:w="6570" w:type="dxa"/>
            <w:shd w:val="clear" w:color="auto" w:fill="auto"/>
            <w:vAlign w:val="center"/>
          </w:tcPr>
          <w:p w14:paraId="3A471F5B">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未提供符合采购文件要求的联合体协议书的。</w:t>
            </w:r>
          </w:p>
        </w:tc>
      </w:tr>
      <w:tr w14:paraId="2321BCD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3EA1BE88">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p>
        </w:tc>
        <w:tc>
          <w:tcPr>
            <w:tcW w:w="1147" w:type="dxa"/>
            <w:shd w:val="clear" w:color="auto" w:fill="auto"/>
            <w:vAlign w:val="center"/>
          </w:tcPr>
          <w:p w14:paraId="7990D6DB">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color w:val="auto"/>
                <w:highlight w:val="none"/>
              </w:rPr>
              <w:t>行贿记录</w:t>
            </w:r>
          </w:p>
        </w:tc>
        <w:tc>
          <w:tcPr>
            <w:tcW w:w="6570" w:type="dxa"/>
            <w:shd w:val="clear" w:color="auto" w:fill="auto"/>
            <w:vAlign w:val="center"/>
          </w:tcPr>
          <w:p w14:paraId="38D3C480">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应答人或法定代表人（单位负责人）、拟委任的项目负责人</w:t>
            </w:r>
            <w:r>
              <w:rPr>
                <w:rFonts w:hint="eastAsia" w:ascii="宋体" w:hAnsi="宋体"/>
                <w:color w:val="000000" w:themeColor="text1"/>
                <w:szCs w:val="21"/>
                <w:highlight w:val="none"/>
                <w14:textFill>
                  <w14:solidFill>
                    <w14:schemeClr w14:val="tx1"/>
                  </w14:solidFill>
                </w14:textFill>
              </w:rPr>
              <w:t>（如采购文件要求委任项目负责人）</w:t>
            </w:r>
            <w:r>
              <w:rPr>
                <w:rFonts w:hint="eastAsia" w:ascii="宋体" w:hAnsi="宋体" w:cs="宋体"/>
                <w:color w:val="000000" w:themeColor="text1"/>
                <w:szCs w:val="21"/>
                <w:highlight w:val="none"/>
                <w14:textFill>
                  <w14:solidFill>
                    <w14:schemeClr w14:val="tx1"/>
                  </w14:solidFill>
                </w14:textFill>
              </w:rPr>
              <w:t>在</w:t>
            </w:r>
            <w:r>
              <w:rPr>
                <w:rFonts w:hint="default" w:ascii="宋体" w:hAnsi="宋体" w:cs="宋体"/>
                <w:color w:val="000000" w:themeColor="text1"/>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截止日前三年内存在行贿犯罪记录的。</w:t>
            </w:r>
          </w:p>
        </w:tc>
      </w:tr>
      <w:tr w14:paraId="506D703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670848A3">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1147" w:type="dxa"/>
            <w:shd w:val="clear" w:color="auto" w:fill="auto"/>
            <w:vAlign w:val="center"/>
          </w:tcPr>
          <w:p w14:paraId="7F3CA9A3">
            <w:pPr>
              <w:widowControl/>
              <w:adjustRightInd w:val="0"/>
              <w:snapToGrid w:val="0"/>
              <w:spacing w:before="158" w:beforeLines="50" w:after="10"/>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kern w:val="0"/>
                <w:szCs w:val="21"/>
                <w:highlight w:val="none"/>
              </w:rPr>
              <w:t>资格不符</w:t>
            </w:r>
          </w:p>
        </w:tc>
        <w:tc>
          <w:tcPr>
            <w:tcW w:w="6570" w:type="dxa"/>
            <w:shd w:val="clear" w:color="auto" w:fill="auto"/>
            <w:vAlign w:val="center"/>
          </w:tcPr>
          <w:p w14:paraId="6CD324CE">
            <w:pPr>
              <w:widowControl/>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采购人有权对应答人进行资质能力核查，如经核查其不具有承担应答</w:t>
            </w:r>
            <w:r>
              <w:rPr>
                <w:rFonts w:ascii="宋体" w:hAnsi="宋体" w:cs="宋体"/>
                <w:color w:val="000000" w:themeColor="text1"/>
                <w:szCs w:val="21"/>
                <w:highlight w:val="none"/>
                <w14:textFill>
                  <w14:solidFill>
                    <w14:schemeClr w14:val="tx1"/>
                  </w14:solidFill>
                </w14:textFill>
              </w:rPr>
              <w:t>项目的</w:t>
            </w:r>
            <w:r>
              <w:rPr>
                <w:rFonts w:hint="eastAsia" w:ascii="宋体" w:hAnsi="宋体" w:cs="宋体"/>
                <w:color w:val="000000" w:themeColor="text1"/>
                <w:szCs w:val="21"/>
                <w:highlight w:val="none"/>
                <w14:textFill>
                  <w14:solidFill>
                    <w14:schemeClr w14:val="tx1"/>
                  </w14:solidFill>
                </w14:textFill>
              </w:rPr>
              <w:t>资质能力，或因其自身原因造成核查工作无法进行的，将视其不具备承担应答项目所需的资质能力，采购人有权否决其应答。</w:t>
            </w:r>
          </w:p>
        </w:tc>
      </w:tr>
      <w:tr w14:paraId="69F25C3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62638597">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1147" w:type="dxa"/>
            <w:shd w:val="clear" w:color="auto" w:fill="auto"/>
            <w:vAlign w:val="center"/>
          </w:tcPr>
          <w:p w14:paraId="5EC32E28">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法定否决</w:t>
            </w:r>
          </w:p>
        </w:tc>
        <w:tc>
          <w:tcPr>
            <w:tcW w:w="6570" w:type="dxa"/>
            <w:shd w:val="clear" w:color="auto" w:fill="auto"/>
            <w:vAlign w:val="center"/>
          </w:tcPr>
          <w:p w14:paraId="3A31562D">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文件响应与事实不符或虚假应答的（虚假应答包括但不限于应答人在其应答文件中提供虚假的资格证明文件、业绩证明文件、验收报告、故意修改采购文件明确列明的技术要求并对其进行响应等），该应答人参与本次应答的所有标包将均被否决，且该应答人在今后一段时间内参与</w:t>
            </w:r>
            <w:r>
              <w:rPr>
                <w:rFonts w:hint="eastAsia" w:ascii="宋体" w:hAnsi="宋体" w:cs="宋体"/>
                <w:color w:val="000000" w:themeColor="text1"/>
                <w:szCs w:val="21"/>
                <w:highlight w:val="none"/>
                <w14:textFill>
                  <w14:solidFill>
                    <w14:schemeClr w14:val="tx1"/>
                  </w14:solidFill>
                </w14:textFill>
              </w:rPr>
              <w:t>国家电网有限公司及其所属单位采购活动的任何</w:t>
            </w:r>
            <w:r>
              <w:rPr>
                <w:rFonts w:hint="eastAsia" w:ascii="宋体" w:hAnsi="宋体" w:cs="宋体"/>
                <w:color w:val="000000" w:themeColor="text1"/>
                <w:kern w:val="0"/>
                <w:szCs w:val="21"/>
                <w:highlight w:val="none"/>
                <w14:textFill>
                  <w14:solidFill>
                    <w14:schemeClr w14:val="tx1"/>
                  </w14:solidFill>
                </w14:textFill>
              </w:rPr>
              <w:t>应答也将被否决。</w:t>
            </w:r>
          </w:p>
        </w:tc>
      </w:tr>
      <w:tr w14:paraId="16ED3BE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1EC4C2A8">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1147" w:type="dxa"/>
            <w:shd w:val="clear" w:color="auto" w:fill="auto"/>
            <w:vAlign w:val="center"/>
          </w:tcPr>
          <w:p w14:paraId="1F187F2C">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法定否决</w:t>
            </w:r>
          </w:p>
        </w:tc>
        <w:tc>
          <w:tcPr>
            <w:tcW w:w="6570" w:type="dxa"/>
            <w:shd w:val="clear" w:color="auto" w:fill="auto"/>
            <w:vAlign w:val="center"/>
          </w:tcPr>
          <w:p w14:paraId="6AC8C657">
            <w:pPr>
              <w:adjustRightInd w:val="0"/>
              <w:snapToGrid w:val="0"/>
              <w:spacing w:before="158" w:beforeLines="50" w:after="10"/>
              <w:rPr>
                <w:rFonts w:asciiTheme="minorEastAsia" w:hAnsiTheme="minorEastAsia" w:eastAsiaTheme="minorEastAsia" w:cstheme="minorEastAsia"/>
                <w:kern w:val="2"/>
                <w:sz w:val="24"/>
                <w:szCs w:val="21"/>
                <w:highlight w:val="none"/>
                <w:lang w:val="en-US" w:eastAsia="zh-CN" w:bidi="ar-SA"/>
              </w:rPr>
            </w:pPr>
            <w:r>
              <w:rPr>
                <w:rFonts w:hint="eastAsia" w:ascii="宋体" w:hAnsi="宋体" w:cs="宋体"/>
                <w:color w:val="000000" w:themeColor="text1"/>
                <w:szCs w:val="21"/>
                <w:highlight w:val="none"/>
                <w14:textFill>
                  <w14:solidFill>
                    <w14:schemeClr w14:val="tx1"/>
                  </w14:solidFill>
                </w14:textFill>
              </w:rPr>
              <w:t>串通</w:t>
            </w:r>
            <w:r>
              <w:rPr>
                <w:rFonts w:hint="eastAsia" w:ascii="宋体" w:hAnsi="宋体" w:cs="宋体"/>
                <w:color w:val="000000" w:themeColor="text1"/>
                <w:kern w:val="0"/>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或视为串通</w:t>
            </w:r>
            <w:r>
              <w:rPr>
                <w:rFonts w:hint="eastAsia" w:ascii="宋体" w:hAnsi="宋体" w:cs="宋体"/>
                <w:color w:val="000000" w:themeColor="text1"/>
                <w:kern w:val="0"/>
                <w:szCs w:val="21"/>
                <w:highlight w:val="none"/>
                <w14:textFill>
                  <w14:solidFill>
                    <w14:schemeClr w14:val="tx1"/>
                  </w14:solidFill>
                </w14:textFill>
              </w:rPr>
              <w:t>应答</w:t>
            </w:r>
            <w:r>
              <w:rPr>
                <w:rFonts w:hint="eastAsia" w:ascii="宋体" w:hAnsi="宋体" w:cs="宋体"/>
                <w:color w:val="auto"/>
                <w:kern w:val="0"/>
                <w:szCs w:val="21"/>
                <w:highlight w:val="none"/>
                <w:lang w:val="en-US" w:eastAsia="zh-CN"/>
              </w:rPr>
              <w:t>或根据投诉举报经核实认定为串通应答</w:t>
            </w:r>
            <w:r>
              <w:rPr>
                <w:rFonts w:hint="eastAsia" w:ascii="宋体" w:hAnsi="宋体" w:cs="宋体"/>
                <w:color w:val="000000" w:themeColor="text1"/>
                <w:szCs w:val="21"/>
                <w:highlight w:val="none"/>
                <w14:textFill>
                  <w14:solidFill>
                    <w14:schemeClr w14:val="tx1"/>
                  </w14:solidFill>
                </w14:textFill>
              </w:rPr>
              <w:t>或联合围标或有其他违法行为的，该</w:t>
            </w:r>
            <w:r>
              <w:rPr>
                <w:rFonts w:hint="eastAsia" w:ascii="宋体" w:hAnsi="宋体" w:cs="宋体"/>
                <w:color w:val="000000" w:themeColor="text1"/>
                <w:kern w:val="0"/>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人参与本次采购活动的所有标包将均被否决。</w:t>
            </w:r>
          </w:p>
        </w:tc>
      </w:tr>
      <w:tr w14:paraId="7DD23C4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5424D7B">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p>
        </w:tc>
        <w:tc>
          <w:tcPr>
            <w:tcW w:w="1147" w:type="dxa"/>
            <w:shd w:val="clear" w:color="auto" w:fill="auto"/>
            <w:vAlign w:val="center"/>
          </w:tcPr>
          <w:p w14:paraId="6EE53E55">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法定否决</w:t>
            </w:r>
          </w:p>
        </w:tc>
        <w:tc>
          <w:tcPr>
            <w:tcW w:w="6570" w:type="dxa"/>
            <w:shd w:val="clear" w:color="auto" w:fill="auto"/>
            <w:vAlign w:val="center"/>
          </w:tcPr>
          <w:p w14:paraId="7095914D">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《中华人民共和国招标投标法》、《中华人民共和国招标投标法实施条例》和《评标委员会和评标方法暂行规定》等法律法规规章规定的其他否决情形。</w:t>
            </w:r>
          </w:p>
        </w:tc>
      </w:tr>
      <w:tr w14:paraId="7939914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827C2C3">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p>
        </w:tc>
        <w:tc>
          <w:tcPr>
            <w:tcW w:w="1147" w:type="dxa"/>
            <w:shd w:val="clear" w:color="auto" w:fill="auto"/>
            <w:vAlign w:val="center"/>
          </w:tcPr>
          <w:p w14:paraId="0CE85A72">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质量否决</w:t>
            </w:r>
          </w:p>
        </w:tc>
        <w:tc>
          <w:tcPr>
            <w:tcW w:w="6570" w:type="dxa"/>
            <w:shd w:val="clear" w:color="auto" w:fill="auto"/>
            <w:vAlign w:val="center"/>
          </w:tcPr>
          <w:p w14:paraId="548EEFA0">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w:t>
            </w:r>
            <w:r>
              <w:rPr>
                <w:rFonts w:hint="default" w:ascii="宋体" w:hAnsi="宋体" w:cs="宋体"/>
                <w:color w:val="000000" w:themeColor="text1"/>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截止日前三年内发生重大质量问题（以相关行业主管部门的行政处罚决定或司法机关出具的有关法律文书为准）</w:t>
            </w:r>
          </w:p>
        </w:tc>
      </w:tr>
      <w:tr w14:paraId="6B8D4B5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10DD0DEA">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p>
        </w:tc>
        <w:tc>
          <w:tcPr>
            <w:tcW w:w="1147" w:type="dxa"/>
            <w:shd w:val="clear" w:color="auto" w:fill="auto"/>
            <w:vAlign w:val="center"/>
          </w:tcPr>
          <w:p w14:paraId="0441B9C7">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s="宋体"/>
                <w:color w:val="auto"/>
                <w:szCs w:val="21"/>
                <w:highlight w:val="none"/>
              </w:rPr>
              <w:t>格式内容</w:t>
            </w:r>
          </w:p>
        </w:tc>
        <w:tc>
          <w:tcPr>
            <w:tcW w:w="6570" w:type="dxa"/>
            <w:shd w:val="clear" w:color="auto" w:fill="auto"/>
            <w:vAlign w:val="center"/>
          </w:tcPr>
          <w:p w14:paraId="0C4749B2">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应答文件未按采购文件规定的格式填写，内容不全或者关键字迹模糊无法辨认的</w:t>
            </w:r>
            <w:r>
              <w:rPr>
                <w:rFonts w:hint="eastAsia" w:ascii="宋体" w:hAnsi="宋体"/>
                <w:color w:val="000000" w:themeColor="text1"/>
                <w:kern w:val="0"/>
                <w:szCs w:val="21"/>
                <w:highlight w:val="none"/>
                <w14:textFill>
                  <w14:solidFill>
                    <w14:schemeClr w14:val="tx1"/>
                  </w14:solidFill>
                </w14:textFill>
              </w:rPr>
              <w:t>。</w:t>
            </w:r>
          </w:p>
        </w:tc>
      </w:tr>
      <w:tr w14:paraId="5B96FA1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1F95F9A4">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1147" w:type="dxa"/>
            <w:shd w:val="clear" w:color="auto" w:fill="auto"/>
            <w:vAlign w:val="center"/>
          </w:tcPr>
          <w:p w14:paraId="28BA9ABF">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s="宋体"/>
                <w:color w:val="auto"/>
                <w:szCs w:val="21"/>
                <w:highlight w:val="none"/>
              </w:rPr>
              <w:t>格式内容</w:t>
            </w:r>
          </w:p>
        </w:tc>
        <w:tc>
          <w:tcPr>
            <w:tcW w:w="6570" w:type="dxa"/>
            <w:shd w:val="clear" w:color="auto" w:fill="auto"/>
            <w:vAlign w:val="center"/>
          </w:tcPr>
          <w:p w14:paraId="3AE8D61D">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人提交两份或多份内容不同的</w:t>
            </w:r>
            <w:r>
              <w:rPr>
                <w:rFonts w:hint="eastAsia" w:ascii="宋体" w:hAnsi="宋体" w:cs="宋体"/>
                <w:color w:val="000000" w:themeColor="text1"/>
                <w:kern w:val="0"/>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文件，或在一份</w:t>
            </w:r>
            <w:r>
              <w:rPr>
                <w:rFonts w:hint="eastAsia" w:ascii="宋体" w:hAnsi="宋体" w:cs="宋体"/>
                <w:color w:val="000000" w:themeColor="text1"/>
                <w:kern w:val="0"/>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文件中对同一采购内容报有两个或多个报价，按采购文件规定提交备选应答方案的除外。</w:t>
            </w:r>
          </w:p>
        </w:tc>
      </w:tr>
      <w:tr w14:paraId="2C2711E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AC24B2F">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w:t>
            </w:r>
          </w:p>
        </w:tc>
        <w:tc>
          <w:tcPr>
            <w:tcW w:w="1147" w:type="dxa"/>
            <w:shd w:val="clear" w:color="auto" w:fill="auto"/>
            <w:vAlign w:val="center"/>
          </w:tcPr>
          <w:p w14:paraId="69017907">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s="宋体"/>
                <w:color w:val="auto"/>
                <w:szCs w:val="21"/>
                <w:highlight w:val="none"/>
              </w:rPr>
              <w:t>文件签署</w:t>
            </w:r>
          </w:p>
        </w:tc>
        <w:tc>
          <w:tcPr>
            <w:tcW w:w="6570" w:type="dxa"/>
            <w:shd w:val="clear" w:color="auto" w:fill="auto"/>
            <w:vAlign w:val="center"/>
          </w:tcPr>
          <w:p w14:paraId="0EC612B6">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对采购文件的格式文件进行实质性修改或未按格式进行签署的</w:t>
            </w:r>
            <w:r>
              <w:rPr>
                <w:rFonts w:hint="eastAsia" w:ascii="宋体" w:hAnsi="宋体" w:cs="宋体"/>
                <w:color w:val="000000" w:themeColor="text1"/>
                <w:szCs w:val="21"/>
                <w:highlight w:val="none"/>
                <w14:textFill>
                  <w14:solidFill>
                    <w14:schemeClr w14:val="tx1"/>
                  </w14:solidFill>
                </w14:textFill>
              </w:rPr>
              <w:t>；如由委托代理人签字的，未附有效的法定代表人（单位负责人）授权委托书的（未提交法定代表人（单位负责人）授权委托书，或法定代表人（单位负责人）授权委托书未经应答单位盖章或法定代表人（单位负责人）签字（签名章）的）。</w:t>
            </w:r>
          </w:p>
        </w:tc>
      </w:tr>
      <w:tr w14:paraId="5BFACE5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E696969">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p>
        </w:tc>
        <w:tc>
          <w:tcPr>
            <w:tcW w:w="1147" w:type="dxa"/>
            <w:shd w:val="clear" w:color="auto" w:fill="auto"/>
            <w:vAlign w:val="center"/>
          </w:tcPr>
          <w:p w14:paraId="013D2033">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s="宋体"/>
                <w:color w:val="auto"/>
                <w:szCs w:val="21"/>
                <w:highlight w:val="none"/>
              </w:rPr>
              <w:t>文件签署</w:t>
            </w:r>
          </w:p>
        </w:tc>
        <w:tc>
          <w:tcPr>
            <w:tcW w:w="6570" w:type="dxa"/>
            <w:shd w:val="clear" w:color="auto" w:fill="auto"/>
            <w:vAlign w:val="center"/>
          </w:tcPr>
          <w:p w14:paraId="40D41021">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应答文件无签名，或者签名无效的，或签名人与应答人不是同一人的。</w:t>
            </w:r>
          </w:p>
        </w:tc>
      </w:tr>
      <w:tr w14:paraId="61151AC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402A4926">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p>
        </w:tc>
        <w:tc>
          <w:tcPr>
            <w:tcW w:w="1147" w:type="dxa"/>
            <w:shd w:val="clear" w:color="auto" w:fill="auto"/>
            <w:vAlign w:val="center"/>
          </w:tcPr>
          <w:p w14:paraId="7194AFA1">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s="宋体"/>
                <w:color w:val="auto"/>
                <w:szCs w:val="21"/>
                <w:highlight w:val="none"/>
              </w:rPr>
              <w:t>应答期限</w:t>
            </w:r>
          </w:p>
        </w:tc>
        <w:tc>
          <w:tcPr>
            <w:tcW w:w="6570" w:type="dxa"/>
            <w:shd w:val="clear" w:color="auto" w:fill="auto"/>
            <w:vAlign w:val="center"/>
          </w:tcPr>
          <w:p w14:paraId="49936ADC">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应答有效期不满足采购文件要求的。</w:t>
            </w:r>
          </w:p>
        </w:tc>
      </w:tr>
      <w:tr w14:paraId="10220F4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5280EC6">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w:t>
            </w:r>
          </w:p>
        </w:tc>
        <w:tc>
          <w:tcPr>
            <w:tcW w:w="1147" w:type="dxa"/>
            <w:shd w:val="clear" w:color="auto" w:fill="auto"/>
            <w:vAlign w:val="center"/>
          </w:tcPr>
          <w:p w14:paraId="38EBD332">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交付期限</w:t>
            </w:r>
          </w:p>
        </w:tc>
        <w:tc>
          <w:tcPr>
            <w:tcW w:w="6570" w:type="dxa"/>
            <w:shd w:val="clear" w:color="auto" w:fill="auto"/>
            <w:vAlign w:val="center"/>
          </w:tcPr>
          <w:p w14:paraId="3FBB4DA0">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应答文件所承诺的工期</w:t>
            </w:r>
            <w:r>
              <w:rPr>
                <w:rFonts w:ascii="宋体" w:hAnsi="宋体" w:cs="宋体"/>
                <w:color w:val="000000" w:themeColor="text1"/>
                <w:szCs w:val="21"/>
                <w:highlight w:val="none"/>
                <w14:textFill>
                  <w14:solidFill>
                    <w14:schemeClr w14:val="tx1"/>
                  </w14:solidFill>
                </w14:textFill>
              </w:rPr>
              <w:t>/服务期不满足</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文件要求的，且</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人不能接受的。</w:t>
            </w:r>
          </w:p>
        </w:tc>
      </w:tr>
      <w:tr w14:paraId="3A782C8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14E67BA1">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w:t>
            </w:r>
          </w:p>
        </w:tc>
        <w:tc>
          <w:tcPr>
            <w:tcW w:w="1147" w:type="dxa"/>
            <w:shd w:val="clear" w:color="auto" w:fill="auto"/>
            <w:vAlign w:val="center"/>
          </w:tcPr>
          <w:p w14:paraId="13555892">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应答担保</w:t>
            </w:r>
          </w:p>
        </w:tc>
        <w:tc>
          <w:tcPr>
            <w:tcW w:w="6570" w:type="dxa"/>
            <w:shd w:val="clear" w:color="auto" w:fill="auto"/>
            <w:vAlign w:val="center"/>
          </w:tcPr>
          <w:p w14:paraId="360329B1">
            <w:pPr>
              <w:widowControl/>
              <w:adjustRightInd w:val="0"/>
              <w:snapToGrid w:val="0"/>
              <w:spacing w:before="158" w:beforeLines="50" w:after="1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未按采购文件要求提交应答保证金的；</w:t>
            </w:r>
          </w:p>
          <w:p w14:paraId="4EADFA6F">
            <w:pPr>
              <w:widowControl/>
              <w:adjustRightInd w:val="0"/>
              <w:snapToGrid w:val="0"/>
              <w:spacing w:before="158" w:beforeLines="50" w:after="1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银行汇款形式提供的应答保证金未从应答人基本账户转出，未提供从应答人基本账户转出有效证明的（未提供有效证明是指未提供企业银行基本账户开户许可证复印件，也未提供应答人基本账户开户行通过账户管理系统打印的《基本存款账户信息》扫描件）；</w:t>
            </w:r>
          </w:p>
          <w:p w14:paraId="0DF0C340">
            <w:pPr>
              <w:widowControl/>
              <w:adjustRightInd w:val="0"/>
              <w:snapToGrid w:val="0"/>
              <w:spacing w:before="158" w:beforeLines="50" w:after="1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以应答保证保险形式提交的应答保证金，未提供保单查询途径或提供的查询途径采购人无法查询的，保单保费未从应答人基本账户转出或保单未体现保费是否由应答人基本账户支付的相关信息；</w:t>
            </w:r>
          </w:p>
          <w:p w14:paraId="1FFDA25D">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以银行保函、应答保证保险形式提交的应答保证金不满足采购文件要求的（如对上述格式文件进行实质性修改或未按格式进行签署</w:t>
            </w:r>
            <w:r>
              <w:rPr>
                <w:rFonts w:hint="eastAsia" w:ascii="宋体" w:hAnsi="宋体" w:cs="宋体"/>
                <w:color w:val="000000" w:themeColor="text1"/>
                <w:kern w:val="0"/>
                <w:szCs w:val="21"/>
                <w:highlight w:val="none"/>
                <w14:textFill>
                  <w14:solidFill>
                    <w14:schemeClr w14:val="tx1"/>
                  </w14:solidFill>
                </w14:textFill>
              </w:rPr>
              <w:t>）。</w:t>
            </w:r>
          </w:p>
        </w:tc>
      </w:tr>
      <w:tr w14:paraId="23ACF4D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FA7C96B">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p>
        </w:tc>
        <w:tc>
          <w:tcPr>
            <w:tcW w:w="1147" w:type="dxa"/>
            <w:shd w:val="clear" w:color="auto" w:fill="auto"/>
            <w:vAlign w:val="center"/>
          </w:tcPr>
          <w:p w14:paraId="6374A8B1">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kern w:val="0"/>
                <w:szCs w:val="21"/>
                <w:highlight w:val="none"/>
              </w:rPr>
              <w:t>应答偏差</w:t>
            </w:r>
          </w:p>
        </w:tc>
        <w:tc>
          <w:tcPr>
            <w:tcW w:w="6570" w:type="dxa"/>
            <w:shd w:val="clear" w:color="auto" w:fill="auto"/>
            <w:vAlign w:val="center"/>
          </w:tcPr>
          <w:p w14:paraId="32B2C750">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应答人提出采购人不能接受的条件或偏差的</w:t>
            </w:r>
            <w:r>
              <w:rPr>
                <w:rFonts w:hint="eastAsia" w:ascii="宋体" w:hAnsi="宋体" w:cs="宋体"/>
                <w:color w:val="000000" w:themeColor="text1"/>
                <w:kern w:val="0"/>
                <w:szCs w:val="21"/>
                <w:highlight w:val="none"/>
                <w14:textFill>
                  <w14:solidFill>
                    <w14:schemeClr w14:val="tx1"/>
                  </w14:solidFill>
                </w14:textFill>
              </w:rPr>
              <w:t>。</w:t>
            </w:r>
          </w:p>
        </w:tc>
      </w:tr>
      <w:tr w14:paraId="52D141D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F235B97">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p>
        </w:tc>
        <w:tc>
          <w:tcPr>
            <w:tcW w:w="1147" w:type="dxa"/>
            <w:shd w:val="clear" w:color="auto" w:fill="auto"/>
            <w:vAlign w:val="center"/>
          </w:tcPr>
          <w:p w14:paraId="1CC764C4">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澄清修改</w:t>
            </w:r>
          </w:p>
        </w:tc>
        <w:tc>
          <w:tcPr>
            <w:tcW w:w="6570" w:type="dxa"/>
            <w:shd w:val="clear" w:color="auto" w:fill="auto"/>
            <w:vAlign w:val="center"/>
          </w:tcPr>
          <w:p w14:paraId="07AC6951">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应答文件提交截止时间后主动撤销应答文件或主动对应答文件提出实质性修改的。</w:t>
            </w:r>
          </w:p>
        </w:tc>
      </w:tr>
      <w:tr w14:paraId="5AE2F96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E7FC666">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p>
        </w:tc>
        <w:tc>
          <w:tcPr>
            <w:tcW w:w="1147" w:type="dxa"/>
            <w:shd w:val="clear" w:color="auto" w:fill="auto"/>
            <w:vAlign w:val="center"/>
          </w:tcPr>
          <w:p w14:paraId="5FE6DEC4">
            <w:pPr>
              <w:adjustRightInd w:val="0"/>
              <w:snapToGrid w:val="0"/>
              <w:spacing w:before="158" w:beforeLines="50" w:after="10"/>
              <w:jc w:val="center"/>
              <w:rPr>
                <w:rFonts w:ascii="宋体" w:hAnsi="宋体" w:eastAsiaTheme="minorEastAsia" w:cstheme="minorEastAsia"/>
                <w:color w:val="auto"/>
                <w:kern w:val="2"/>
                <w:sz w:val="24"/>
                <w:szCs w:val="21"/>
                <w:highlight w:val="none"/>
                <w:lang w:val="en-US" w:eastAsia="zh-CN" w:bidi="ar-SA"/>
              </w:rPr>
            </w:pPr>
            <w:r>
              <w:rPr>
                <w:rFonts w:hint="eastAsia" w:ascii="宋体" w:hAnsi="宋体" w:cs="宋体"/>
                <w:color w:val="auto"/>
                <w:szCs w:val="21"/>
                <w:highlight w:val="none"/>
              </w:rPr>
              <w:t>澄清修改</w:t>
            </w:r>
          </w:p>
        </w:tc>
        <w:tc>
          <w:tcPr>
            <w:tcW w:w="6570" w:type="dxa"/>
            <w:shd w:val="clear" w:color="auto" w:fill="auto"/>
            <w:vAlign w:val="center"/>
          </w:tcPr>
          <w:p w14:paraId="058699F3">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不按</w:t>
            </w:r>
            <w:r>
              <w:rPr>
                <w:rFonts w:hint="default" w:ascii="宋体" w:hAnsi="宋体" w:cs="宋体"/>
                <w:color w:val="000000" w:themeColor="text1"/>
                <w:szCs w:val="21"/>
                <w:highlight w:val="none"/>
                <w14:textFill>
                  <w14:solidFill>
                    <w14:schemeClr w14:val="tx1"/>
                  </w14:solidFill>
                </w14:textFill>
              </w:rPr>
              <w:t>评审小组</w:t>
            </w:r>
            <w:r>
              <w:rPr>
                <w:rFonts w:hint="eastAsia" w:ascii="宋体" w:hAnsi="宋体" w:cs="宋体"/>
                <w:color w:val="000000" w:themeColor="text1"/>
                <w:szCs w:val="21"/>
                <w:highlight w:val="none"/>
                <w14:textFill>
                  <w14:solidFill>
                    <w14:schemeClr w14:val="tx1"/>
                  </w14:solidFill>
                </w14:textFill>
              </w:rPr>
              <w:t>要求对应答文件进行澄清、说明或补正的。</w:t>
            </w:r>
          </w:p>
        </w:tc>
      </w:tr>
      <w:tr w14:paraId="1081D61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203F973C">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w:t>
            </w:r>
          </w:p>
        </w:tc>
        <w:tc>
          <w:tcPr>
            <w:tcW w:w="1147" w:type="dxa"/>
            <w:shd w:val="clear" w:color="auto" w:fill="auto"/>
            <w:vAlign w:val="center"/>
          </w:tcPr>
          <w:p w14:paraId="0D0CF6DA">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s="宋体"/>
                <w:color w:val="auto"/>
                <w:szCs w:val="21"/>
                <w:highlight w:val="none"/>
              </w:rPr>
              <w:t>应答范围</w:t>
            </w:r>
          </w:p>
        </w:tc>
        <w:tc>
          <w:tcPr>
            <w:tcW w:w="6570" w:type="dxa"/>
            <w:shd w:val="clear" w:color="auto" w:fill="auto"/>
            <w:vAlign w:val="center"/>
          </w:tcPr>
          <w:p w14:paraId="1E106E26">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应答范围与采购文件要求存在偏差的，且采购人不能接受的。</w:t>
            </w:r>
          </w:p>
        </w:tc>
      </w:tr>
      <w:tr w14:paraId="0BA4E97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5B60FF05">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w:t>
            </w:r>
          </w:p>
        </w:tc>
        <w:tc>
          <w:tcPr>
            <w:tcW w:w="1147" w:type="dxa"/>
            <w:shd w:val="clear" w:color="auto" w:fill="auto"/>
            <w:vAlign w:val="center"/>
          </w:tcPr>
          <w:p w14:paraId="60D765A7">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olor w:val="auto"/>
                <w:szCs w:val="21"/>
                <w:highlight w:val="none"/>
              </w:rPr>
              <w:t>应答报价</w:t>
            </w:r>
          </w:p>
        </w:tc>
        <w:tc>
          <w:tcPr>
            <w:tcW w:w="6570" w:type="dxa"/>
            <w:shd w:val="clear" w:color="auto" w:fill="auto"/>
            <w:vAlign w:val="center"/>
          </w:tcPr>
          <w:p w14:paraId="6C223710">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应答人不接受</w:t>
            </w:r>
            <w:r>
              <w:rPr>
                <w:rFonts w:hint="default" w:ascii="宋体" w:hAnsi="宋体" w:cs="宋体"/>
                <w:color w:val="000000" w:themeColor="text1"/>
                <w:kern w:val="0"/>
                <w:szCs w:val="21"/>
                <w:highlight w:val="none"/>
                <w14:textFill>
                  <w14:solidFill>
                    <w14:schemeClr w14:val="tx1"/>
                  </w14:solidFill>
                </w14:textFill>
              </w:rPr>
              <w:t>评审小组</w:t>
            </w:r>
            <w:r>
              <w:rPr>
                <w:rFonts w:hint="eastAsia" w:ascii="宋体" w:hAnsi="宋体" w:cs="宋体"/>
                <w:color w:val="000000" w:themeColor="text1"/>
                <w:kern w:val="0"/>
                <w:szCs w:val="21"/>
                <w:highlight w:val="none"/>
                <w14:textFill>
                  <w14:solidFill>
                    <w14:schemeClr w14:val="tx1"/>
                  </w14:solidFill>
                </w14:textFill>
              </w:rPr>
              <w:t>依法所作的修正价格的。</w:t>
            </w:r>
          </w:p>
        </w:tc>
      </w:tr>
      <w:tr w14:paraId="5844778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3FF2769">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34</w:t>
            </w:r>
          </w:p>
        </w:tc>
        <w:tc>
          <w:tcPr>
            <w:tcW w:w="1147" w:type="dxa"/>
            <w:shd w:val="clear" w:color="auto" w:fill="auto"/>
            <w:vAlign w:val="center"/>
          </w:tcPr>
          <w:p w14:paraId="4A2D9E38">
            <w:pPr>
              <w:adjustRightInd w:val="0"/>
              <w:snapToGrid w:val="0"/>
              <w:spacing w:before="158" w:beforeLines="50" w:after="10"/>
              <w:jc w:val="center"/>
              <w:rPr>
                <w:rFonts w:ascii="宋体" w:hAnsi="宋体" w:cs="宋体" w:eastAsiaTheme="minorEastAsia"/>
                <w:color w:val="auto"/>
                <w:kern w:val="2"/>
                <w:sz w:val="24"/>
                <w:szCs w:val="21"/>
                <w:highlight w:val="none"/>
                <w:lang w:val="en-US" w:eastAsia="zh-CN" w:bidi="ar-SA"/>
              </w:rPr>
            </w:pPr>
            <w:r>
              <w:rPr>
                <w:rFonts w:hint="eastAsia" w:ascii="宋体" w:hAnsi="宋体"/>
                <w:color w:val="auto"/>
                <w:szCs w:val="21"/>
                <w:highlight w:val="none"/>
              </w:rPr>
              <w:t>应答报价</w:t>
            </w:r>
          </w:p>
        </w:tc>
        <w:tc>
          <w:tcPr>
            <w:tcW w:w="6570" w:type="dxa"/>
            <w:shd w:val="clear" w:color="auto" w:fill="auto"/>
            <w:vAlign w:val="center"/>
          </w:tcPr>
          <w:p w14:paraId="5F27BE31">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报价明显低于其他应答报价，且应答人不能合理说明或者提供相关证明材料，</w:t>
            </w:r>
            <w:r>
              <w:rPr>
                <w:rFonts w:hint="default" w:ascii="宋体" w:hAnsi="宋体" w:cs="宋体"/>
                <w:color w:val="000000" w:themeColor="text1"/>
                <w:kern w:val="0"/>
                <w:szCs w:val="21"/>
                <w:highlight w:val="none"/>
                <w14:textFill>
                  <w14:solidFill>
                    <w14:schemeClr w14:val="tx1"/>
                  </w14:solidFill>
                </w14:textFill>
              </w:rPr>
              <w:t>评审小组</w:t>
            </w:r>
            <w:r>
              <w:rPr>
                <w:rFonts w:hint="eastAsia" w:ascii="宋体" w:hAnsi="宋体" w:cs="宋体"/>
                <w:color w:val="000000" w:themeColor="text1"/>
                <w:kern w:val="0"/>
                <w:szCs w:val="21"/>
                <w:highlight w:val="none"/>
                <w14:textFill>
                  <w14:solidFill>
                    <w14:schemeClr w14:val="tx1"/>
                  </w14:solidFill>
                </w14:textFill>
              </w:rPr>
              <w:t>认定该应答人以低于成本报价竞标的。</w:t>
            </w:r>
          </w:p>
        </w:tc>
      </w:tr>
      <w:tr w14:paraId="14843F0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25274E0C">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p>
        </w:tc>
        <w:tc>
          <w:tcPr>
            <w:tcW w:w="1147" w:type="dxa"/>
            <w:shd w:val="clear" w:color="auto" w:fill="auto"/>
            <w:vAlign w:val="center"/>
          </w:tcPr>
          <w:p w14:paraId="5B3AEADF">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应答报价</w:t>
            </w:r>
          </w:p>
        </w:tc>
        <w:tc>
          <w:tcPr>
            <w:tcW w:w="6570" w:type="dxa"/>
            <w:shd w:val="clear" w:color="auto" w:fill="auto"/>
            <w:vAlign w:val="center"/>
          </w:tcPr>
          <w:p w14:paraId="1A3E1BD8">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采购文件中明确规定了最高限价</w:t>
            </w:r>
            <w:r>
              <w:rPr>
                <w:rFonts w:hint="eastAsia" w:ascii="宋体" w:hAnsi="宋体" w:cs="宋体"/>
                <w:color w:val="auto"/>
                <w:kern w:val="0"/>
                <w:szCs w:val="21"/>
                <w:highlight w:val="none"/>
              </w:rPr>
              <w:t>（包括具体金额、计算方式）</w:t>
            </w:r>
            <w:r>
              <w:rPr>
                <w:rFonts w:hint="eastAsia" w:ascii="宋体" w:hAnsi="宋体" w:cs="宋体"/>
                <w:color w:val="000000" w:themeColor="text1"/>
                <w:kern w:val="0"/>
                <w:szCs w:val="21"/>
                <w:highlight w:val="none"/>
                <w14:textFill>
                  <w14:solidFill>
                    <w14:schemeClr w14:val="tx1"/>
                  </w14:solidFill>
                </w14:textFill>
              </w:rPr>
              <w:t>，应答人的应答价格</w:t>
            </w:r>
            <w:r>
              <w:rPr>
                <w:rFonts w:hint="eastAsia" w:ascii="宋体" w:hAnsi="宋体" w:cs="宋体"/>
                <w:color w:val="auto"/>
                <w:kern w:val="0"/>
                <w:szCs w:val="21"/>
                <w:highlight w:val="none"/>
              </w:rPr>
              <w:t>剔除角和分（单价限价不剔除）的数值后</w:t>
            </w:r>
            <w:r>
              <w:rPr>
                <w:rFonts w:hint="eastAsia" w:ascii="宋体" w:hAnsi="宋体" w:cs="宋体"/>
                <w:color w:val="000000" w:themeColor="text1"/>
                <w:kern w:val="0"/>
                <w:szCs w:val="21"/>
                <w:highlight w:val="none"/>
                <w14:textFill>
                  <w14:solidFill>
                    <w14:schemeClr w14:val="tx1"/>
                  </w14:solidFill>
                </w14:textFill>
              </w:rPr>
              <w:t>超过最高限价的。</w:t>
            </w:r>
          </w:p>
        </w:tc>
      </w:tr>
      <w:tr w14:paraId="4221F62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61273596">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w:t>
            </w:r>
          </w:p>
        </w:tc>
        <w:tc>
          <w:tcPr>
            <w:tcW w:w="1147" w:type="dxa"/>
            <w:shd w:val="clear" w:color="auto" w:fill="auto"/>
            <w:vAlign w:val="center"/>
          </w:tcPr>
          <w:p w14:paraId="01CC22C5">
            <w:pPr>
              <w:adjustRightInd w:val="0"/>
              <w:snapToGrid w:val="0"/>
              <w:spacing w:before="158" w:beforeLines="50" w:after="10"/>
              <w:jc w:val="center"/>
              <w:rPr>
                <w:rFonts w:ascii="宋体" w:hAnsi="宋体"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应答报价</w:t>
            </w:r>
          </w:p>
        </w:tc>
        <w:tc>
          <w:tcPr>
            <w:tcW w:w="6570" w:type="dxa"/>
            <w:shd w:val="clear" w:color="auto" w:fill="auto"/>
            <w:vAlign w:val="center"/>
          </w:tcPr>
          <w:p w14:paraId="4E83E87D">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应答报价构成采购文件规定为无效报价的；</w:t>
            </w:r>
            <w:r>
              <w:rPr>
                <w:rFonts w:hint="eastAsia" w:ascii="宋体" w:hAnsi="宋体" w:cs="宋体"/>
                <w:color w:val="000000" w:themeColor="text1"/>
                <w:szCs w:val="21"/>
                <w:highlight w:val="none"/>
                <w14:textFill>
                  <w14:solidFill>
                    <w14:schemeClr w14:val="tx1"/>
                  </w14:solidFill>
                </w14:textFill>
              </w:rPr>
              <w:t>开标一览表中显示为非报价数值的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投标报价小数点错误导致单价总价都出现明显错误的。</w:t>
            </w:r>
          </w:p>
        </w:tc>
      </w:tr>
      <w:tr w14:paraId="1CCF6BA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433412B">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w:t>
            </w:r>
          </w:p>
        </w:tc>
        <w:tc>
          <w:tcPr>
            <w:tcW w:w="1147" w:type="dxa"/>
            <w:shd w:val="clear" w:color="auto" w:fill="auto"/>
            <w:vAlign w:val="center"/>
          </w:tcPr>
          <w:p w14:paraId="67F506BD">
            <w:pPr>
              <w:adjustRightInd w:val="0"/>
              <w:snapToGrid w:val="0"/>
              <w:spacing w:before="158" w:beforeLines="50" w:after="10"/>
              <w:jc w:val="center"/>
              <w:rPr>
                <w:rFonts w:ascii="宋体" w:hAnsi="宋体"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应答报价</w:t>
            </w:r>
          </w:p>
        </w:tc>
        <w:tc>
          <w:tcPr>
            <w:tcW w:w="6570" w:type="dxa"/>
            <w:shd w:val="clear" w:color="auto" w:fill="auto"/>
            <w:vAlign w:val="center"/>
          </w:tcPr>
          <w:p w14:paraId="4ACA8A1C">
            <w:pPr>
              <w:adjustRightInd w:val="0"/>
              <w:snapToGrid w:val="0"/>
              <w:spacing w:before="158" w:beforeLines="50" w:after="10"/>
              <w:rPr>
                <w:rFonts w:ascii="宋体" w:hAnsi="宋体" w:cs="宋体" w:eastAsiaTheme="minorEastAsia"/>
                <w:color w:val="000000" w:themeColor="text1"/>
                <w:kern w:val="0"/>
                <w:sz w:val="24"/>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应答价格仍出现数值与货币单位不对应，即出现了明显的百倍至万倍高于正常水平的报价（如把“应答函报价表”中的“万元”当成“元”进行报价）。</w:t>
            </w:r>
          </w:p>
        </w:tc>
      </w:tr>
      <w:tr w14:paraId="5C83B7E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42FE5FAE">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38</w:t>
            </w:r>
          </w:p>
        </w:tc>
        <w:tc>
          <w:tcPr>
            <w:tcW w:w="1147" w:type="dxa"/>
            <w:shd w:val="clear" w:color="auto" w:fill="auto"/>
            <w:vAlign w:val="center"/>
          </w:tcPr>
          <w:p w14:paraId="50084995">
            <w:pPr>
              <w:adjustRightInd w:val="0"/>
              <w:snapToGrid w:val="0"/>
              <w:spacing w:before="158" w:beforeLines="50" w:after="10"/>
              <w:jc w:val="center"/>
              <w:rPr>
                <w:rFonts w:ascii="宋体" w:hAnsi="宋体"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应答报价</w:t>
            </w:r>
          </w:p>
        </w:tc>
        <w:tc>
          <w:tcPr>
            <w:tcW w:w="6570" w:type="dxa"/>
            <w:shd w:val="clear" w:color="auto" w:fill="auto"/>
            <w:vAlign w:val="center"/>
          </w:tcPr>
          <w:p w14:paraId="687A05DC">
            <w:pPr>
              <w:adjustRightInd w:val="0"/>
              <w:snapToGrid w:val="0"/>
              <w:spacing w:before="158" w:beforeLines="50" w:after="10"/>
              <w:rPr>
                <w:rFonts w:ascii="宋体" w:hAnsi="宋体" w:cs="宋体" w:eastAsiaTheme="minorEastAsia"/>
                <w:color w:val="000000" w:themeColor="text1"/>
                <w:kern w:val="0"/>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多轮报价过程中，应答人后一轮报价高于其前一轮报价的（经采购人同意进行供货范围或技术方案调整导致的除外）。</w:t>
            </w:r>
          </w:p>
        </w:tc>
      </w:tr>
      <w:tr w14:paraId="33AC77B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06BEA56E">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39</w:t>
            </w:r>
          </w:p>
        </w:tc>
        <w:tc>
          <w:tcPr>
            <w:tcW w:w="1147" w:type="dxa"/>
            <w:shd w:val="clear" w:color="auto" w:fill="auto"/>
            <w:vAlign w:val="center"/>
          </w:tcPr>
          <w:p w14:paraId="67515CC1">
            <w:pPr>
              <w:adjustRightInd w:val="0"/>
              <w:snapToGrid w:val="0"/>
              <w:spacing w:before="158" w:beforeLines="50" w:after="10"/>
              <w:jc w:val="center"/>
              <w:rPr>
                <w:rFonts w:hint="eastAsia" w:ascii="宋体" w:hAnsi="宋体" w:eastAsia="宋体" w:cs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税率错误</w:t>
            </w:r>
          </w:p>
        </w:tc>
        <w:tc>
          <w:tcPr>
            <w:tcW w:w="6570" w:type="dxa"/>
            <w:shd w:val="clear" w:color="auto" w:fill="auto"/>
            <w:vAlign w:val="center"/>
          </w:tcPr>
          <w:p w14:paraId="456CD2FB">
            <w:pPr>
              <w:adjustRightInd w:val="0"/>
              <w:snapToGrid w:val="0"/>
              <w:spacing w:before="158" w:beforeLines="50" w:after="10"/>
              <w:rPr>
                <w:rFonts w:ascii="宋体" w:hAnsi="宋体"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不按国家法律法规规定填报增值税税率或征收率的。</w:t>
            </w:r>
          </w:p>
        </w:tc>
      </w:tr>
      <w:tr w14:paraId="0514670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05" w:type="dxa"/>
            <w:vAlign w:val="center"/>
          </w:tcPr>
          <w:p w14:paraId="0B43E999">
            <w:pPr>
              <w:adjustRightInd w:val="0"/>
              <w:snapToGrid w:val="0"/>
              <w:spacing w:before="158" w:beforeLines="50" w:after="1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w:t>
            </w:r>
          </w:p>
        </w:tc>
        <w:tc>
          <w:tcPr>
            <w:tcW w:w="1147" w:type="dxa"/>
            <w:shd w:val="clear" w:color="auto" w:fill="auto"/>
            <w:vAlign w:val="center"/>
          </w:tcPr>
          <w:p w14:paraId="0D83F2C3">
            <w:pPr>
              <w:adjustRightInd w:val="0"/>
              <w:snapToGrid w:val="0"/>
              <w:spacing w:before="158" w:beforeLines="50" w:after="10"/>
              <w:jc w:val="cente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auto"/>
                <w:szCs w:val="21"/>
                <w:highlight w:val="none"/>
                <w:lang w:val="en-US" w:eastAsia="zh-CN"/>
              </w:rPr>
              <w:t>实质不符</w:t>
            </w:r>
          </w:p>
        </w:tc>
        <w:tc>
          <w:tcPr>
            <w:tcW w:w="6570" w:type="dxa"/>
            <w:shd w:val="clear" w:color="auto" w:fill="auto"/>
            <w:vAlign w:val="center"/>
          </w:tcPr>
          <w:p w14:paraId="404263A2">
            <w:pPr>
              <w:adjustRightInd w:val="0"/>
              <w:snapToGrid w:val="0"/>
              <w:spacing w:before="158" w:beforeLines="50" w:after="10"/>
              <w:rPr>
                <w:rFonts w:asciiTheme="minorEastAsia" w:hAnsiTheme="minorEastAsia" w:eastAsiaTheme="minorEastAsia" w:cstheme="minorEastAsia"/>
                <w:kern w:val="2"/>
                <w:sz w:val="24"/>
                <w:szCs w:val="21"/>
                <w:highlight w:val="none"/>
                <w:lang w:val="en-US" w:eastAsia="zh-CN" w:bidi="ar-SA"/>
              </w:rPr>
            </w:pPr>
            <w:r>
              <w:rPr>
                <w:rFonts w:hint="eastAsia" w:ascii="宋体" w:hAnsi="宋体" w:cs="宋体"/>
                <w:color w:val="000000" w:themeColor="text1"/>
                <w:szCs w:val="21"/>
                <w:highlight w:val="none"/>
                <w14:textFill>
                  <w14:solidFill>
                    <w14:schemeClr w14:val="tx1"/>
                  </w14:solidFill>
                </w14:textFill>
              </w:rPr>
              <w:t>不符合采购文件实质性要求的。</w:t>
            </w:r>
          </w:p>
        </w:tc>
      </w:tr>
      <w:tr w14:paraId="20D7933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8342C08">
            <w:pPr>
              <w:adjustRightInd w:val="0"/>
              <w:snapToGrid w:val="0"/>
              <w:spacing w:before="158" w:beforeLines="50" w:after="10"/>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p>
        </w:tc>
        <w:tc>
          <w:tcPr>
            <w:tcW w:w="1147" w:type="dxa"/>
            <w:shd w:val="clear" w:color="auto" w:fill="auto"/>
            <w:vAlign w:val="center"/>
          </w:tcPr>
          <w:p w14:paraId="1BEB014E">
            <w:pPr>
              <w:adjustRightInd w:val="0"/>
              <w:snapToGrid w:val="0"/>
              <w:spacing w:before="158" w:beforeLines="50" w:after="10"/>
              <w:jc w:val="center"/>
              <w:rPr>
                <w:rFonts w:hint="default"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其他事项</w:t>
            </w:r>
          </w:p>
        </w:tc>
        <w:tc>
          <w:tcPr>
            <w:tcW w:w="6570" w:type="dxa"/>
            <w:shd w:val="clear" w:color="auto" w:fill="auto"/>
            <w:vAlign w:val="center"/>
          </w:tcPr>
          <w:p w14:paraId="5134B330">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应答人或应答文件符合采购文件中规定否决应答的其他条款的。</w:t>
            </w:r>
          </w:p>
        </w:tc>
      </w:tr>
      <w:tr w14:paraId="32B7F33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50D8502">
            <w:pPr>
              <w:adjustRightInd w:val="0"/>
              <w:snapToGrid w:val="0"/>
              <w:spacing w:before="158" w:beforeLines="50" w:after="1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w:t>
            </w:r>
          </w:p>
        </w:tc>
        <w:tc>
          <w:tcPr>
            <w:tcW w:w="1147" w:type="dxa"/>
            <w:shd w:val="clear" w:color="auto" w:fill="auto"/>
            <w:vAlign w:val="center"/>
          </w:tcPr>
          <w:p w14:paraId="454CFCA1">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文件签署</w:t>
            </w:r>
          </w:p>
        </w:tc>
        <w:tc>
          <w:tcPr>
            <w:tcW w:w="6570" w:type="dxa"/>
            <w:shd w:val="clear" w:color="auto" w:fill="auto"/>
            <w:vAlign w:val="center"/>
          </w:tcPr>
          <w:p w14:paraId="49C9DE0A">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应答人如在应答文件中使用“投标专用章”，未提供有效的“投标专用章”与公章具备同等效力的证明文件。</w:t>
            </w:r>
          </w:p>
        </w:tc>
      </w:tr>
      <w:tr w14:paraId="1F4060A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13B13D55">
            <w:pPr>
              <w:adjustRightInd w:val="0"/>
              <w:snapToGrid w:val="0"/>
              <w:spacing w:before="158" w:beforeLines="50" w:after="10"/>
              <w:ind w:firstLine="240" w:firstLineChars="100"/>
              <w:jc w:val="both"/>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43</w:t>
            </w:r>
          </w:p>
        </w:tc>
        <w:tc>
          <w:tcPr>
            <w:tcW w:w="1147" w:type="dxa"/>
            <w:shd w:val="clear" w:color="auto" w:fill="auto"/>
            <w:vAlign w:val="center"/>
          </w:tcPr>
          <w:p w14:paraId="28E8F549">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无效报价</w:t>
            </w:r>
          </w:p>
        </w:tc>
        <w:tc>
          <w:tcPr>
            <w:tcW w:w="6570" w:type="dxa"/>
            <w:shd w:val="clear" w:color="auto" w:fill="auto"/>
            <w:vAlign w:val="center"/>
          </w:tcPr>
          <w:p w14:paraId="278F6A72">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应答人未提供《报价文件》或《工程量清单》的。</w:t>
            </w:r>
          </w:p>
        </w:tc>
      </w:tr>
      <w:tr w14:paraId="6EE6627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2084E957">
            <w:pPr>
              <w:adjustRightInd w:val="0"/>
              <w:snapToGrid w:val="0"/>
              <w:spacing w:before="158" w:beforeLines="50" w:after="1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44</w:t>
            </w:r>
          </w:p>
        </w:tc>
        <w:tc>
          <w:tcPr>
            <w:tcW w:w="1147" w:type="dxa"/>
            <w:shd w:val="clear" w:color="auto" w:fill="auto"/>
            <w:vAlign w:val="center"/>
          </w:tcPr>
          <w:p w14:paraId="411CB46C">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报价超限</w:t>
            </w:r>
          </w:p>
        </w:tc>
        <w:tc>
          <w:tcPr>
            <w:tcW w:w="6570" w:type="dxa"/>
            <w:shd w:val="clear" w:color="auto" w:fill="auto"/>
            <w:vAlign w:val="center"/>
          </w:tcPr>
          <w:p w14:paraId="72F2455F">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修正后的应答报价超出开标价格±5%的。</w:t>
            </w:r>
          </w:p>
        </w:tc>
      </w:tr>
      <w:tr w14:paraId="6B26267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7D2774B7">
            <w:pPr>
              <w:adjustRightInd w:val="0"/>
              <w:snapToGrid w:val="0"/>
              <w:spacing w:before="158" w:beforeLines="50" w:after="1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p>
        </w:tc>
        <w:tc>
          <w:tcPr>
            <w:tcW w:w="1147" w:type="dxa"/>
            <w:shd w:val="clear" w:color="auto" w:fill="auto"/>
            <w:vAlign w:val="center"/>
          </w:tcPr>
          <w:p w14:paraId="471C8739">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违规报价</w:t>
            </w:r>
          </w:p>
        </w:tc>
        <w:tc>
          <w:tcPr>
            <w:tcW w:w="6570" w:type="dxa"/>
            <w:shd w:val="clear" w:color="auto" w:fill="auto"/>
            <w:vAlign w:val="center"/>
          </w:tcPr>
          <w:p w14:paraId="7EC13C75">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未按照采购文件规定金额计取暂列金/备用金的。</w:t>
            </w:r>
          </w:p>
        </w:tc>
      </w:tr>
      <w:tr w14:paraId="600C6AA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5E8D39B0">
            <w:pPr>
              <w:adjustRightInd w:val="0"/>
              <w:snapToGrid w:val="0"/>
              <w:spacing w:before="158" w:beforeLines="50" w:after="1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46</w:t>
            </w:r>
          </w:p>
        </w:tc>
        <w:tc>
          <w:tcPr>
            <w:tcW w:w="1147" w:type="dxa"/>
            <w:shd w:val="clear" w:color="auto" w:fill="auto"/>
            <w:vAlign w:val="center"/>
          </w:tcPr>
          <w:p w14:paraId="3DE0AF6A">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违规报价</w:t>
            </w:r>
          </w:p>
        </w:tc>
        <w:tc>
          <w:tcPr>
            <w:tcW w:w="6570" w:type="dxa"/>
            <w:shd w:val="clear" w:color="auto" w:fill="auto"/>
            <w:vAlign w:val="center"/>
          </w:tcPr>
          <w:p w14:paraId="7113A7E6">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应答报价文件出现下列情况之一的：（1）报价表插入行、列或单元格，导致报价文件增项的；（</w:t>
            </w:r>
            <w:r>
              <w:rPr>
                <w:rFonts w:hint="default"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）报价文件插入、删除或合并行、列或单元格，导致报价文件缺漏项的；（</w:t>
            </w:r>
            <w:r>
              <w:rPr>
                <w:rFonts w:hint="default"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）修改报价文件中“项目名称”“分项名称”、“单位”“数量”的；（</w:t>
            </w:r>
            <w:r>
              <w:rPr>
                <w:rFonts w:hint="default"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）其它改变报价文件实质性内容的。</w:t>
            </w:r>
          </w:p>
        </w:tc>
      </w:tr>
      <w:tr w14:paraId="393CDB7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561E1473">
            <w:pPr>
              <w:adjustRightInd w:val="0"/>
              <w:snapToGrid w:val="0"/>
              <w:spacing w:before="158" w:beforeLines="50" w:after="1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47</w:t>
            </w:r>
          </w:p>
        </w:tc>
        <w:tc>
          <w:tcPr>
            <w:tcW w:w="1147" w:type="dxa"/>
            <w:shd w:val="clear" w:color="auto" w:fill="auto"/>
            <w:vAlign w:val="center"/>
          </w:tcPr>
          <w:p w14:paraId="5A93C1E6">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6570" w:type="dxa"/>
            <w:shd w:val="clear" w:color="auto" w:fill="auto"/>
            <w:vAlign w:val="center"/>
          </w:tcPr>
          <w:p w14:paraId="722AE93B">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采购文件允许分包的，且应答人将允许分包的工作分包，但未按采购文件</w:t>
            </w:r>
            <w:r>
              <w:rPr>
                <w:rFonts w:hint="default" w:ascii="宋体" w:hAnsi="宋体" w:cs="宋体"/>
                <w:color w:val="000000" w:themeColor="text1"/>
                <w:szCs w:val="21"/>
                <w:highlight w:val="none"/>
                <w14:textFill>
                  <w14:solidFill>
                    <w14:schemeClr w14:val="tx1"/>
                  </w14:solidFill>
                </w14:textFill>
              </w:rPr>
              <w:t>第六章应答</w:t>
            </w:r>
            <w:r>
              <w:rPr>
                <w:rFonts w:hint="eastAsia" w:ascii="宋体" w:hAnsi="宋体" w:cs="宋体"/>
                <w:color w:val="000000" w:themeColor="text1"/>
                <w:szCs w:val="21"/>
                <w:highlight w:val="none"/>
                <w14:textFill>
                  <w14:solidFill>
                    <w14:schemeClr w14:val="tx1"/>
                  </w14:solidFill>
                </w14:textFill>
              </w:rPr>
              <w:t>文件格式中提交有效的拟分包项目情况表的。</w:t>
            </w:r>
          </w:p>
        </w:tc>
      </w:tr>
      <w:tr w14:paraId="74D45A0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05" w:type="dxa"/>
            <w:vAlign w:val="center"/>
          </w:tcPr>
          <w:p w14:paraId="50FD8AD6">
            <w:pPr>
              <w:adjustRightInd w:val="0"/>
              <w:snapToGrid w:val="0"/>
              <w:spacing w:before="158" w:beforeLines="50" w:after="1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48</w:t>
            </w:r>
          </w:p>
        </w:tc>
        <w:tc>
          <w:tcPr>
            <w:tcW w:w="1147" w:type="dxa"/>
            <w:shd w:val="clear" w:color="auto" w:fill="auto"/>
            <w:vAlign w:val="center"/>
          </w:tcPr>
          <w:p w14:paraId="6DA8A4FD">
            <w:pPr>
              <w:adjustRightInd w:val="0"/>
              <w:snapToGrid w:val="0"/>
              <w:spacing w:before="158" w:beforeLines="50" w:after="10"/>
              <w:jc w:val="center"/>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6570" w:type="dxa"/>
            <w:shd w:val="clear" w:color="auto" w:fill="auto"/>
            <w:vAlign w:val="center"/>
          </w:tcPr>
          <w:p w14:paraId="0B3ABCB0">
            <w:pPr>
              <w:adjustRightInd w:val="0"/>
              <w:snapToGrid w:val="0"/>
              <w:spacing w:before="158" w:beforeLines="50" w:after="10"/>
              <w:rPr>
                <w:rFonts w:ascii="宋体" w:hAnsi="宋体" w:cs="宋体" w:eastAsiaTheme="minorEastAsia"/>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未提供电子版应答文件；提供的电子版应答文件不能打开或文件损坏的｡</w:t>
            </w:r>
          </w:p>
        </w:tc>
      </w:tr>
    </w:tbl>
    <w:p w14:paraId="7F9139A3">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6.5.</w:t>
      </w:r>
      <w:r>
        <w:rPr>
          <w:rFonts w:hint="eastAsia" w:ascii="宋体" w:hAnsi="宋体"/>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应答报价有算术错误或缺漏项及其他错误的，</w:t>
      </w:r>
      <w:r>
        <w:rPr>
          <w:rFonts w:hint="default"/>
          <w:color w:val="000000" w:themeColor="text1"/>
          <w:highlight w:val="none"/>
          <w14:textFill>
            <w14:solidFill>
              <w14:schemeClr w14:val="tx1"/>
            </w14:solidFill>
          </w14:textFill>
        </w:rPr>
        <w:t>评审小组</w:t>
      </w:r>
      <w:r>
        <w:rPr>
          <w:rFonts w:hint="eastAsia"/>
          <w:color w:val="000000" w:themeColor="text1"/>
          <w:highlight w:val="none"/>
          <w14:textFill>
            <w14:solidFill>
              <w14:schemeClr w14:val="tx1"/>
            </w14:solidFill>
          </w14:textFill>
        </w:rPr>
        <w:t>按以下规则对应答报价进行修正，修正价格经应答人书面确认后具有约束力。</w:t>
      </w:r>
    </w:p>
    <w:p w14:paraId="37EABACF">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（1）应答文件中的大写金额和小写金额不一致的，以大写金额为准；</w:t>
      </w:r>
    </w:p>
    <w:p w14:paraId="1744399C">
      <w:pPr>
        <w:pStyle w:val="14"/>
        <w:adjustRightInd w:val="0"/>
        <w:snapToGrid w:val="0"/>
        <w:spacing w:after="0" w:line="400" w:lineRule="exact"/>
        <w:ind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）总价金额与单价金额不一致的，以单价金额为准，但单价金额小数点有明显错误的除外。</w:t>
      </w:r>
    </w:p>
    <w:p w14:paraId="4415B236">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62" w:name="_Toc62566178"/>
      <w:r>
        <w:rPr>
          <w:rFonts w:hint="eastAsia" w:ascii="黑体" w:hAnsi="黑体" w:eastAsia="黑体"/>
          <w:b/>
          <w:color w:val="000000" w:themeColor="text1"/>
          <w:highlight w:val="none"/>
          <w14:textFill>
            <w14:solidFill>
              <w14:schemeClr w14:val="tx1"/>
            </w14:solidFill>
          </w14:textFill>
        </w:rPr>
        <w:t>6.6 谈判</w:t>
      </w:r>
      <w:bookmarkEnd w:id="62"/>
    </w:p>
    <w:p w14:paraId="3E182B99">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6.6.1</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将就应答文件的技术方案、商务条件、报价情况等内容与应答人进行谈判，并将谈判事项记录在《谈判记录单》中。</w:t>
      </w:r>
    </w:p>
    <w:p w14:paraId="227DC3E1">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采购文件有实质性变动的，</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应当在</w:t>
      </w:r>
      <w:r>
        <w:rPr>
          <w:rFonts w:hint="eastAsia" w:ascii="宋体" w:hAnsi="宋体"/>
          <w:color w:val="000000" w:themeColor="text1"/>
          <w:kern w:val="0"/>
          <w:szCs w:val="21"/>
          <w:highlight w:val="none"/>
          <w:lang w:eastAsia="zh-CN"/>
          <w14:textFill>
            <w14:solidFill>
              <w14:schemeClr w14:val="tx1"/>
            </w14:solidFill>
          </w14:textFill>
        </w:rPr>
        <w:t>招标人</w:t>
      </w:r>
      <w:r>
        <w:rPr>
          <w:rFonts w:hint="default" w:ascii="宋体" w:hAnsi="宋体"/>
          <w:color w:val="000000" w:themeColor="text1"/>
          <w:kern w:val="0"/>
          <w:szCs w:val="21"/>
          <w:highlight w:val="none"/>
          <w:lang w:eastAsia="zh-CN"/>
          <w14:textFill>
            <w14:solidFill>
              <w14:schemeClr w14:val="tx1"/>
            </w14:solidFill>
          </w14:textFill>
        </w:rPr>
        <w:t>网站</w:t>
      </w:r>
      <w:r>
        <w:rPr>
          <w:rFonts w:hint="eastAsia" w:ascii="宋体" w:hAnsi="宋体"/>
          <w:color w:val="000000" w:themeColor="text1"/>
          <w:kern w:val="0"/>
          <w:szCs w:val="21"/>
          <w:highlight w:val="none"/>
          <w14:textFill>
            <w14:solidFill>
              <w14:schemeClr w14:val="tx1"/>
            </w14:solidFill>
          </w14:textFill>
        </w:rPr>
        <w:t>以《澄清函》形式</w:t>
      </w:r>
      <w:r>
        <w:rPr>
          <w:rFonts w:hint="default" w:ascii="宋体" w:hAnsi="宋体"/>
          <w:color w:val="000000" w:themeColor="text1"/>
          <w:kern w:val="0"/>
          <w:szCs w:val="21"/>
          <w:highlight w:val="none"/>
          <w14:textFill>
            <w14:solidFill>
              <w14:schemeClr w14:val="tx1"/>
            </w14:solidFill>
          </w14:textFill>
        </w:rPr>
        <w:t>发布</w:t>
      </w:r>
      <w:r>
        <w:rPr>
          <w:rFonts w:hint="eastAsia" w:ascii="宋体" w:hAnsi="宋体"/>
          <w:color w:val="000000" w:themeColor="text1"/>
          <w:kern w:val="0"/>
          <w:szCs w:val="21"/>
          <w:highlight w:val="none"/>
          <w14:textFill>
            <w14:solidFill>
              <w14:schemeClr w14:val="tx1"/>
            </w14:solidFill>
          </w14:textFill>
        </w:rPr>
        <w:t>，应答人未按要求时间进行回复确认的，</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一律视为已收到。</w:t>
      </w:r>
    </w:p>
    <w:p w14:paraId="798B3756">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对应答人提交的澄清、说明或补正文件有疑问的，可以要求应答人进一步澄清、说明或修正，直至满足</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的要求。</w:t>
      </w:r>
    </w:p>
    <w:p w14:paraId="6946A31C">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《谈判记录单》和《澄清函》中关于澄清、谈判及修正的结果应由应答人进行</w:t>
      </w:r>
      <w:r>
        <w:rPr>
          <w:rFonts w:hint="default" w:ascii="宋体" w:hAnsi="宋体"/>
          <w:color w:val="000000" w:themeColor="text1"/>
          <w:kern w:val="0"/>
          <w:szCs w:val="21"/>
          <w:highlight w:val="none"/>
          <w14:textFill>
            <w14:solidFill>
              <w14:schemeClr w14:val="tx1"/>
            </w14:solidFill>
          </w14:textFill>
        </w:rPr>
        <w:t>确认</w:t>
      </w:r>
      <w:r>
        <w:rPr>
          <w:rFonts w:hint="eastAsia" w:ascii="宋体" w:hAnsi="宋体"/>
          <w:color w:val="000000" w:themeColor="text1"/>
          <w:kern w:val="0"/>
          <w:szCs w:val="21"/>
          <w:highlight w:val="none"/>
          <w14:textFill>
            <w14:solidFill>
              <w14:schemeClr w14:val="tx1"/>
            </w14:solidFill>
          </w14:textFill>
        </w:rPr>
        <w:t>。</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不接受应答人主动提出的澄清、说明或修正。</w:t>
      </w:r>
    </w:p>
    <w:p w14:paraId="28587DB8">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6.6.2</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可根据应答人报价、采购文件响应及谈判情况，</w:t>
      </w:r>
      <w:r>
        <w:rPr>
          <w:rFonts w:hint="default" w:ascii="宋体" w:hAnsi="宋体"/>
          <w:color w:val="000000" w:themeColor="text1"/>
          <w:kern w:val="0"/>
          <w:szCs w:val="21"/>
          <w:highlight w:val="none"/>
          <w14:textFill>
            <w14:solidFill>
              <w14:schemeClr w14:val="tx1"/>
            </w14:solidFill>
          </w14:textFill>
        </w:rPr>
        <w:t>在评审现场</w:t>
      </w:r>
      <w:r>
        <w:rPr>
          <w:rFonts w:hint="eastAsia" w:ascii="宋体" w:hAnsi="宋体"/>
          <w:color w:val="000000" w:themeColor="text1"/>
          <w:kern w:val="0"/>
          <w:szCs w:val="21"/>
          <w:highlight w:val="none"/>
          <w14:textFill>
            <w14:solidFill>
              <w14:schemeClr w14:val="tx1"/>
            </w14:solidFill>
          </w14:textFill>
        </w:rPr>
        <w:t>向应答人发出报价邀请，要求应答人进行一轮或多轮报价，应答人在经</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同意重新提交报价的，原报价在新报价提交后失效。</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在最终报价邀请时明确该轮报价为最终报价，应答人最终报价提交后生效并在应答有效期内保持有效，最终报价在应答有效期内不可撤销和变更。应答人未经</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同意而提出的最终报价为无效报价，对采购人无约束力。</w:t>
      </w:r>
    </w:p>
    <w:p w14:paraId="5BADAE9B">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6.6.3对于应答人未能根据</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的要求提交，或者书面明确不参与后续或最终报价的，以其最后一轮提交的有效报价为准。</w:t>
      </w:r>
    </w:p>
    <w:p w14:paraId="51BEA4F2">
      <w:pPr>
        <w:adjustRightInd w:val="0"/>
        <w:snapToGrid w:val="0"/>
        <w:spacing w:line="400" w:lineRule="exact"/>
        <w:ind w:firstLine="48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6.6.</w:t>
      </w:r>
      <w:r>
        <w:rPr>
          <w:rFonts w:hint="eastAsia" w:ascii="宋体" w:hAnsi="宋体"/>
          <w:color w:val="000000" w:themeColor="text1"/>
          <w:kern w:val="0"/>
          <w:szCs w:val="21"/>
          <w:highlight w:val="none"/>
          <w14:textFill>
            <w14:solidFill>
              <w14:schemeClr w14:val="tx1"/>
            </w14:solidFill>
          </w14:textFill>
        </w:rPr>
        <w:t>4多轮报价过程中，应答人后一轮报价高于其前一轮报价的，</w:t>
      </w:r>
      <w:r>
        <w:rPr>
          <w:rFonts w:hint="default" w:ascii="宋体" w:hAnsi="宋体"/>
          <w:color w:val="000000" w:themeColor="text1"/>
          <w:kern w:val="0"/>
          <w:szCs w:val="21"/>
          <w:highlight w:val="none"/>
          <w14:textFill>
            <w14:solidFill>
              <w14:schemeClr w14:val="tx1"/>
            </w14:solidFill>
          </w14:textFill>
        </w:rPr>
        <w:t>评审小组</w:t>
      </w:r>
      <w:r>
        <w:rPr>
          <w:rFonts w:hint="eastAsia" w:ascii="宋体" w:hAnsi="宋体"/>
          <w:color w:val="000000" w:themeColor="text1"/>
          <w:kern w:val="0"/>
          <w:szCs w:val="21"/>
          <w:highlight w:val="none"/>
          <w14:textFill>
            <w14:solidFill>
              <w14:schemeClr w14:val="tx1"/>
            </w14:solidFill>
          </w14:textFill>
        </w:rPr>
        <w:t>有权否决其应答，但经采购人同意进行供货范围或技术方案调整导致的除外。</w:t>
      </w:r>
    </w:p>
    <w:p w14:paraId="1591F479">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63" w:name="_Toc62566179"/>
      <w:r>
        <w:rPr>
          <w:rFonts w:hint="eastAsia" w:ascii="黑体" w:hAnsi="黑体" w:eastAsia="黑体"/>
          <w:b/>
          <w:color w:val="000000" w:themeColor="text1"/>
          <w:highlight w:val="none"/>
          <w14:textFill>
            <w14:solidFill>
              <w14:schemeClr w14:val="tx1"/>
            </w14:solidFill>
          </w14:textFill>
        </w:rPr>
        <w:t>6.7 详细评审</w:t>
      </w:r>
      <w:bookmarkEnd w:id="63"/>
    </w:p>
    <w:p w14:paraId="321AFA02">
      <w:pPr>
        <w:widowControl/>
        <w:adjustRightInd w:val="0"/>
        <w:snapToGrid w:val="0"/>
        <w:spacing w:line="400" w:lineRule="exact"/>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6.7.1 </w:t>
      </w:r>
      <w:r>
        <w:rPr>
          <w:rFonts w:hint="eastAsia" w:ascii="宋体" w:hAnsi="宋体" w:cs="宋体"/>
          <w:color w:val="000000" w:themeColor="text1"/>
          <w:highlight w:val="none"/>
          <w14:textFill>
            <w14:solidFill>
              <w14:schemeClr w14:val="tx1"/>
            </w14:solidFill>
          </w14:textFill>
        </w:rPr>
        <w:t>分值权重构成见应答人须知前附表。</w:t>
      </w:r>
    </w:p>
    <w:p w14:paraId="528A9DC2">
      <w:pPr>
        <w:widowControl/>
        <w:adjustRightInd w:val="0"/>
        <w:snapToGrid w:val="0"/>
        <w:spacing w:line="400" w:lineRule="exact"/>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6.7.2 </w:t>
      </w:r>
      <w:r>
        <w:rPr>
          <w:rFonts w:hint="eastAsia" w:ascii="宋体" w:hAnsi="宋体" w:cs="宋体"/>
          <w:color w:val="000000" w:themeColor="text1"/>
          <w:highlight w:val="none"/>
          <w14:textFill>
            <w14:solidFill>
              <w14:schemeClr w14:val="tx1"/>
            </w14:solidFill>
          </w14:textFill>
        </w:rPr>
        <w:t>评分标准见应答人须知前附表。</w:t>
      </w:r>
    </w:p>
    <w:p w14:paraId="720D79A2">
      <w:pPr>
        <w:widowControl/>
        <w:adjustRightInd w:val="0"/>
        <w:snapToGrid w:val="0"/>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6.7.3</w:t>
      </w:r>
      <w:r>
        <w:rPr>
          <w:rFonts w:hint="default" w:ascii="宋体" w:hAnsi="宋体" w:cs="宋体"/>
          <w:color w:val="000000" w:themeColor="text1"/>
          <w:highlight w:val="none"/>
          <w14:textFill>
            <w14:solidFill>
              <w14:schemeClr w14:val="tx1"/>
            </w14:solidFill>
          </w14:textFill>
        </w:rPr>
        <w:t>评审小组</w:t>
      </w:r>
      <w:r>
        <w:rPr>
          <w:rFonts w:hint="eastAsia" w:ascii="宋体" w:hAnsi="宋体" w:cs="宋体"/>
          <w:color w:val="000000" w:themeColor="text1"/>
          <w:highlight w:val="none"/>
          <w14:textFill>
            <w14:solidFill>
              <w14:schemeClr w14:val="tx1"/>
            </w14:solidFill>
          </w14:textFill>
        </w:rPr>
        <w:t>按6.7.2规定的量化因素和标准进行打分，按照6.7.1规定的分值权重计算出综合评估得分。</w:t>
      </w:r>
    </w:p>
    <w:p w14:paraId="6D08E682">
      <w:pPr>
        <w:adjustRightInd w:val="0"/>
        <w:snapToGrid w:val="0"/>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6.7.4评分总分分值保留两位小数，计算过程中三项分值分别保留小数点后两位，小数点后第三位“四舍五入”。</w:t>
      </w:r>
    </w:p>
    <w:p w14:paraId="00AB5F0C">
      <w:pPr>
        <w:adjustRightInd w:val="0"/>
        <w:snapToGrid w:val="0"/>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6.7.5</w:t>
      </w:r>
      <w:r>
        <w:rPr>
          <w:rFonts w:hint="default" w:ascii="宋体" w:hAnsi="宋体" w:cs="宋体"/>
          <w:color w:val="000000" w:themeColor="text1"/>
          <w:highlight w:val="none"/>
          <w14:textFill>
            <w14:solidFill>
              <w14:schemeClr w14:val="tx1"/>
            </w14:solidFill>
          </w14:textFill>
        </w:rPr>
        <w:t>评审小组</w:t>
      </w:r>
      <w:r>
        <w:rPr>
          <w:rFonts w:hint="eastAsia" w:ascii="宋体" w:hAnsi="宋体" w:cs="宋体"/>
          <w:color w:val="000000" w:themeColor="text1"/>
          <w:highlight w:val="none"/>
          <w14:textFill>
            <w14:solidFill>
              <w14:schemeClr w14:val="tx1"/>
            </w14:solidFill>
          </w14:textFill>
        </w:rPr>
        <w:t>发现应答人的报价明显低于其他应答报价，使得其应答报价可能低于其个别成本的，应当要求该应答人作出书面说明并提供相应的证明材料。应答人不能合理说明或者不能提供相应证明材料的，</w:t>
      </w:r>
      <w:r>
        <w:rPr>
          <w:rFonts w:hint="default" w:ascii="宋体" w:hAnsi="宋体" w:cs="宋体"/>
          <w:color w:val="000000" w:themeColor="text1"/>
          <w:highlight w:val="none"/>
          <w14:textFill>
            <w14:solidFill>
              <w14:schemeClr w14:val="tx1"/>
            </w14:solidFill>
          </w14:textFill>
        </w:rPr>
        <w:t>评审小组</w:t>
      </w:r>
      <w:r>
        <w:rPr>
          <w:rFonts w:hint="eastAsia" w:ascii="宋体" w:hAnsi="宋体" w:cs="宋体"/>
          <w:color w:val="000000" w:themeColor="text1"/>
          <w:highlight w:val="none"/>
          <w14:textFill>
            <w14:solidFill>
              <w14:schemeClr w14:val="tx1"/>
            </w14:solidFill>
          </w14:textFill>
        </w:rPr>
        <w:t>应当认定该应答人以低于成本报价竞标，并否决其应答。</w:t>
      </w:r>
    </w:p>
    <w:p w14:paraId="0781B2CE">
      <w:pPr>
        <w:adjustRightInd w:val="0"/>
        <w:snapToGrid w:val="0"/>
        <w:spacing w:line="400" w:lineRule="exact"/>
        <w:ind w:firstLine="482" w:firstLineChars="200"/>
        <w:outlineLvl w:val="2"/>
        <w:rPr>
          <w:rFonts w:ascii="宋体" w:hAnsi="宋体"/>
          <w:b/>
          <w:color w:val="000000" w:themeColor="text1"/>
          <w:highlight w:val="none"/>
          <w14:textFill>
            <w14:solidFill>
              <w14:schemeClr w14:val="tx1"/>
            </w14:solidFill>
          </w14:textFill>
        </w:rPr>
      </w:pPr>
      <w:bookmarkStart w:id="64" w:name="_Toc62566180"/>
      <w:r>
        <w:rPr>
          <w:rFonts w:hint="eastAsia" w:ascii="黑体" w:hAnsi="黑体" w:eastAsia="黑体"/>
          <w:b/>
          <w:color w:val="000000" w:themeColor="text1"/>
          <w:highlight w:val="none"/>
          <w14:textFill>
            <w14:solidFill>
              <w14:schemeClr w14:val="tx1"/>
            </w14:solidFill>
          </w14:textFill>
        </w:rPr>
        <w:t xml:space="preserve">6.8 </w:t>
      </w:r>
      <w:r>
        <w:rPr>
          <w:rFonts w:hint="eastAsia" w:ascii="宋体" w:hAnsi="宋体"/>
          <w:b/>
          <w:color w:val="000000" w:themeColor="text1"/>
          <w:highlight w:val="none"/>
          <w14:textFill>
            <w14:solidFill>
              <w14:schemeClr w14:val="tx1"/>
            </w14:solidFill>
          </w14:textFill>
        </w:rPr>
        <w:t>评审结果</w:t>
      </w:r>
      <w:bookmarkEnd w:id="64"/>
    </w:p>
    <w:p w14:paraId="3A63DBEA">
      <w:pPr>
        <w:pStyle w:val="5"/>
        <w:adjustRightInd w:val="0"/>
        <w:snapToGrid w:val="0"/>
        <w:spacing w:after="0"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6.8.1</w:t>
      </w:r>
      <w:r>
        <w:rPr>
          <w:rFonts w:hint="default" w:ascii="宋体" w:hAnsi="宋体" w:eastAsia="宋体" w:cs="宋体"/>
          <w:color w:val="000000" w:themeColor="text1"/>
          <w:highlight w:val="none"/>
          <w14:textFill>
            <w14:solidFill>
              <w14:schemeClr w14:val="tx1"/>
            </w14:solidFill>
          </w14:textFill>
        </w:rPr>
        <w:t>评审小组</w:t>
      </w:r>
      <w:r>
        <w:rPr>
          <w:rFonts w:hint="eastAsia" w:ascii="宋体" w:hAnsi="宋体" w:eastAsia="宋体" w:cs="宋体"/>
          <w:color w:val="000000" w:themeColor="text1"/>
          <w:highlight w:val="none"/>
          <w14:textFill>
            <w14:solidFill>
              <w14:schemeClr w14:val="tx1"/>
            </w14:solidFill>
          </w14:textFill>
        </w:rPr>
        <w:t>完成评审后，应当向采购人提交书面评审报告和成交候选人名单。</w:t>
      </w:r>
      <w:r>
        <w:rPr>
          <w:rFonts w:hint="default" w:ascii="宋体" w:hAnsi="宋体" w:eastAsia="宋体" w:cs="宋体"/>
          <w:color w:val="000000" w:themeColor="text1"/>
          <w:highlight w:val="none"/>
          <w14:textFill>
            <w14:solidFill>
              <w14:schemeClr w14:val="tx1"/>
            </w14:solidFill>
          </w14:textFill>
        </w:rPr>
        <w:t>评审小组</w:t>
      </w:r>
      <w:r>
        <w:rPr>
          <w:rFonts w:hint="eastAsia" w:ascii="宋体" w:hAnsi="宋体" w:eastAsia="宋体" w:cs="宋体"/>
          <w:color w:val="000000" w:themeColor="text1"/>
          <w:highlight w:val="none"/>
          <w14:textFill>
            <w14:solidFill>
              <w14:schemeClr w14:val="tx1"/>
            </w14:solidFill>
          </w14:textFill>
        </w:rPr>
        <w:t>推荐成交候选人的人数见应答人须知前附表。</w:t>
      </w:r>
    </w:p>
    <w:p w14:paraId="1DBE6673">
      <w:pPr>
        <w:adjustRightInd w:val="0"/>
        <w:snapToGrid w:val="0"/>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6.8.2 应答报价最低的应答人有不成交的可能。对未成交的原因，采购人、采购代理机构不予解释。</w:t>
      </w:r>
    </w:p>
    <w:p w14:paraId="6CE7DA56">
      <w:pPr>
        <w:pStyle w:val="14"/>
        <w:adjustRightInd w:val="0"/>
        <w:snapToGrid w:val="0"/>
        <w:spacing w:after="0" w:line="400" w:lineRule="exact"/>
        <w:ind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6.8.3采购人不授权</w:t>
      </w:r>
      <w:r>
        <w:rPr>
          <w:rFonts w:hint="default" w:ascii="宋体" w:hAnsi="宋体" w:eastAsia="宋体" w:cs="宋体"/>
          <w:color w:val="000000" w:themeColor="text1"/>
          <w:highlight w:val="none"/>
          <w14:textFill>
            <w14:solidFill>
              <w14:schemeClr w14:val="tx1"/>
            </w14:solidFill>
          </w14:textFill>
        </w:rPr>
        <w:t>评审小组</w:t>
      </w:r>
      <w:r>
        <w:rPr>
          <w:rFonts w:hint="eastAsia" w:ascii="宋体" w:hAnsi="宋体" w:eastAsia="宋体" w:cs="宋体"/>
          <w:color w:val="000000" w:themeColor="text1"/>
          <w:highlight w:val="none"/>
          <w14:textFill>
            <w14:solidFill>
              <w14:schemeClr w14:val="tx1"/>
            </w14:solidFill>
          </w14:textFill>
        </w:rPr>
        <w:t>确定成交人。</w:t>
      </w:r>
    </w:p>
    <w:p w14:paraId="66D34A64">
      <w:pPr>
        <w:numPr>
          <w:ilvl w:val="0"/>
          <w:numId w:val="2"/>
        </w:numPr>
        <w:adjustRightInd w:val="0"/>
        <w:snapToGrid w:val="0"/>
        <w:spacing w:before="317" w:beforeLines="100" w:after="158" w:afterLines="50" w:line="400" w:lineRule="exact"/>
        <w:ind w:firstLine="482" w:firstLineChars="0"/>
        <w:outlineLvl w:val="1"/>
        <w:rPr>
          <w:rFonts w:eastAsia="黑体"/>
          <w:b/>
          <w:color w:val="000000" w:themeColor="text1"/>
          <w:sz w:val="24"/>
          <w:highlight w:val="none"/>
          <w14:textFill>
            <w14:solidFill>
              <w14:schemeClr w14:val="tx1"/>
            </w14:solidFill>
          </w14:textFill>
        </w:rPr>
      </w:pPr>
      <w:bookmarkStart w:id="65" w:name="_Toc12887"/>
      <w:bookmarkStart w:id="66" w:name="_Toc21160"/>
      <w:bookmarkStart w:id="67" w:name="_Toc62566181"/>
      <w:r>
        <w:rPr>
          <w:rFonts w:hint="eastAsia" w:eastAsia="黑体"/>
          <w:b/>
          <w:color w:val="000000" w:themeColor="text1"/>
          <w:sz w:val="24"/>
          <w:highlight w:val="none"/>
          <w14:textFill>
            <w14:solidFill>
              <w14:schemeClr w14:val="tx1"/>
            </w14:solidFill>
          </w14:textFill>
        </w:rPr>
        <w:t>合同授予</w:t>
      </w:r>
      <w:bookmarkEnd w:id="65"/>
      <w:bookmarkEnd w:id="66"/>
      <w:bookmarkEnd w:id="67"/>
    </w:p>
    <w:p w14:paraId="1D060EF2">
      <w:pPr>
        <w:adjustRightInd w:val="0"/>
        <w:snapToGrid w:val="0"/>
        <w:spacing w:line="400" w:lineRule="exact"/>
        <w:ind w:firstLine="482" w:firstLineChars="200"/>
        <w:outlineLvl w:val="2"/>
        <w:rPr>
          <w:rFonts w:ascii="黑体" w:hAnsi="黑体" w:eastAsia="黑体"/>
          <w:color w:val="000000" w:themeColor="text1"/>
          <w:highlight w:val="none"/>
          <w14:textFill>
            <w14:solidFill>
              <w14:schemeClr w14:val="tx1"/>
            </w14:solidFill>
          </w14:textFill>
        </w:rPr>
      </w:pPr>
      <w:bookmarkStart w:id="68" w:name="_Toc62566182"/>
      <w:r>
        <w:rPr>
          <w:rFonts w:hint="eastAsia" w:ascii="黑体" w:hAnsi="黑体" w:eastAsia="黑体"/>
          <w:b/>
          <w:color w:val="000000" w:themeColor="text1"/>
          <w:highlight w:val="none"/>
          <w14:textFill>
            <w14:solidFill>
              <w14:schemeClr w14:val="tx1"/>
            </w14:solidFill>
          </w14:textFill>
        </w:rPr>
        <w:t>7.1 成交通知</w:t>
      </w:r>
      <w:bookmarkEnd w:id="68"/>
    </w:p>
    <w:p w14:paraId="54DAA5C7">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在本章第3.3款规定的应答有效期内，</w:t>
      </w:r>
      <w:r>
        <w:rPr>
          <w:rFonts w:hint="eastAsia" w:ascii="宋体" w:hAnsi="宋体"/>
          <w:color w:val="000000" w:themeColor="text1"/>
          <w:highlight w:val="none"/>
          <w14:textFill>
            <w14:solidFill>
              <w14:schemeClr w14:val="tx1"/>
            </w14:solidFill>
          </w14:textFill>
        </w:rPr>
        <w:t>采购人通过应答人须知前附表规定的公示媒介和期限发布成交候选人公示，公示无异议后，发出成交通知书，同时公开发布成交结果公告。</w:t>
      </w:r>
    </w:p>
    <w:p w14:paraId="30060788">
      <w:pPr>
        <w:adjustRightInd w:val="0"/>
        <w:snapToGrid w:val="0"/>
        <w:spacing w:line="400" w:lineRule="exact"/>
        <w:ind w:firstLine="482" w:firstLineChars="200"/>
        <w:outlineLvl w:val="2"/>
        <w:rPr>
          <w:rFonts w:ascii="黑体" w:hAnsi="黑体" w:eastAsia="黑体"/>
          <w:color w:val="000000" w:themeColor="text1"/>
          <w:highlight w:val="none"/>
          <w14:textFill>
            <w14:solidFill>
              <w14:schemeClr w14:val="tx1"/>
            </w14:solidFill>
          </w14:textFill>
        </w:rPr>
      </w:pPr>
      <w:bookmarkStart w:id="69" w:name="_Toc62566184"/>
      <w:r>
        <w:rPr>
          <w:rFonts w:hint="eastAsia" w:ascii="黑体" w:hAnsi="黑体" w:eastAsia="黑体"/>
          <w:b/>
          <w:color w:val="000000" w:themeColor="text1"/>
          <w:highlight w:val="none"/>
          <w14:textFill>
            <w14:solidFill>
              <w14:schemeClr w14:val="tx1"/>
            </w14:solidFill>
          </w14:textFill>
        </w:rPr>
        <w:t xml:space="preserve">7.2 </w:t>
      </w:r>
      <w:r>
        <w:rPr>
          <w:rFonts w:hint="eastAsia" w:ascii="黑体" w:eastAsia="黑体"/>
          <w:b/>
          <w:color w:val="000000" w:themeColor="text1"/>
          <w:szCs w:val="21"/>
          <w:highlight w:val="none"/>
          <w14:textFill>
            <w14:solidFill>
              <w14:schemeClr w14:val="tx1"/>
            </w14:solidFill>
          </w14:textFill>
        </w:rPr>
        <w:t>履约担保</w:t>
      </w:r>
      <w:bookmarkEnd w:id="69"/>
    </w:p>
    <w:p w14:paraId="0EBC2D02">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7.2.1采购文件要求提交履约担保，成交人应按采购文件第三章“合同条款”规定的履约担保的金额和格式向采购人</w:t>
      </w:r>
      <w:r>
        <w:rPr>
          <w:rFonts w:hint="eastAsia"/>
          <w:color w:val="000000" w:themeColor="text1"/>
          <w:highlight w:val="none"/>
          <w14:textFill>
            <w14:solidFill>
              <w14:schemeClr w14:val="tx1"/>
            </w14:solidFill>
          </w14:textFill>
        </w:rPr>
        <w:t>或其所属项目单位</w:t>
      </w:r>
      <w:r>
        <w:rPr>
          <w:rFonts w:hint="eastAsia" w:ascii="宋体" w:hAnsi="宋体"/>
          <w:color w:val="000000" w:themeColor="text1"/>
          <w:highlight w:val="none"/>
          <w14:textFill>
            <w14:solidFill>
              <w14:schemeClr w14:val="tx1"/>
            </w14:solidFill>
          </w14:textFill>
        </w:rPr>
        <w:t>提交履约担保。联合体成交的，其履约担保由牵头人提交，并应符合采购文件第三章“合同条款”规定的金额、担保形式和履约担保格式要求。</w:t>
      </w:r>
    </w:p>
    <w:p w14:paraId="6D4BC442">
      <w:pPr>
        <w:adjustRightInd w:val="0"/>
        <w:snapToGrid w:val="0"/>
        <w:spacing w:line="400" w:lineRule="exact"/>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7.2.2成交人不能按本章第7.2.1项提交履约担保的，视为放弃成交，其应答保证金不予退还，给采购人造成的损失超过应答保证金的，成交人还应当对超过部分予以赔偿。</w:t>
      </w:r>
    </w:p>
    <w:p w14:paraId="605C7190">
      <w:pPr>
        <w:adjustRightInd w:val="0"/>
        <w:snapToGrid w:val="0"/>
        <w:spacing w:line="400" w:lineRule="exact"/>
        <w:ind w:firstLine="482" w:firstLineChars="200"/>
        <w:outlineLvl w:val="2"/>
        <w:rPr>
          <w:rFonts w:ascii="黑体" w:hAnsi="黑体" w:eastAsia="黑体"/>
          <w:color w:val="000000" w:themeColor="text1"/>
          <w:highlight w:val="none"/>
          <w14:textFill>
            <w14:solidFill>
              <w14:schemeClr w14:val="tx1"/>
            </w14:solidFill>
          </w14:textFill>
        </w:rPr>
      </w:pPr>
      <w:bookmarkStart w:id="70" w:name="_Toc62566185"/>
      <w:r>
        <w:rPr>
          <w:rFonts w:hint="eastAsia" w:ascii="黑体" w:hAnsi="黑体" w:eastAsia="黑体"/>
          <w:b/>
          <w:color w:val="000000" w:themeColor="text1"/>
          <w:highlight w:val="none"/>
          <w14:textFill>
            <w14:solidFill>
              <w14:schemeClr w14:val="tx1"/>
            </w14:solidFill>
          </w14:textFill>
        </w:rPr>
        <w:t>7.3 签订合同</w:t>
      </w:r>
      <w:bookmarkEnd w:id="70"/>
    </w:p>
    <w:p w14:paraId="0958B0D9">
      <w:pPr>
        <w:adjustRightInd w:val="0"/>
        <w:snapToGrid w:val="0"/>
        <w:spacing w:line="4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7.3.1采购人或其所属项目单位和成交人应当自成交通知书发出之日起30日内，根据采购文件和成交人的应答文件订立书面合同</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auto"/>
          <w:highlight w:val="none"/>
        </w:rPr>
        <w:t>不得再行订立背离合同实质性内容的其他协议。</w:t>
      </w:r>
      <w:r>
        <w:rPr>
          <w:rFonts w:hint="eastAsia" w:ascii="宋体" w:hAnsi="宋体" w:cs="宋体"/>
          <w:color w:val="000000" w:themeColor="text1"/>
          <w:highlight w:val="none"/>
          <w14:textFill>
            <w14:solidFill>
              <w14:schemeClr w14:val="tx1"/>
            </w14:solidFill>
          </w14:textFill>
        </w:rPr>
        <w:t>成交人无正当理由拒签合同的，在签订合同时向采购人提出附加条件，或者不按照采购文件要求提交履约担保的，采购人有权取消其成交资格，</w:t>
      </w:r>
      <w:r>
        <w:rPr>
          <w:rFonts w:hint="eastAsia" w:ascii="宋体" w:hAnsi="宋体" w:cs="宋体"/>
          <w:color w:val="000000" w:themeColor="text1"/>
          <w:szCs w:val="21"/>
          <w:highlight w:val="none"/>
          <w14:textFill>
            <w14:solidFill>
              <w14:schemeClr w14:val="tx1"/>
            </w14:solidFill>
          </w14:textFill>
        </w:rPr>
        <w:t>并不予退还</w:t>
      </w:r>
      <w:r>
        <w:rPr>
          <w:rFonts w:hint="eastAsia" w:ascii="宋体" w:hAnsi="宋体" w:cs="宋体"/>
          <w:color w:val="000000" w:themeColor="text1"/>
          <w:highlight w:val="none"/>
          <w14:textFill>
            <w14:solidFill>
              <w14:schemeClr w14:val="tx1"/>
            </w14:solidFill>
          </w14:textFill>
        </w:rPr>
        <w:t>应答保证金，在此情况下，采购人可</w:t>
      </w:r>
      <w:r>
        <w:rPr>
          <w:rFonts w:hint="eastAsia" w:ascii="宋体" w:hAnsi="宋体" w:cs="宋体"/>
          <w:color w:val="auto"/>
          <w:highlight w:val="none"/>
          <w:lang w:eastAsia="zh-CN"/>
        </w:rPr>
        <w:t>按照采购文件</w:t>
      </w:r>
      <w:r>
        <w:rPr>
          <w:rFonts w:hint="eastAsia" w:ascii="宋体" w:hAnsi="宋体" w:cs="宋体"/>
          <w:color w:val="auto"/>
          <w:highlight w:val="none"/>
        </w:rPr>
        <w:t>相关规定</w:t>
      </w:r>
      <w:r>
        <w:rPr>
          <w:rFonts w:hint="eastAsia" w:ascii="宋体" w:hAnsi="宋体" w:cs="宋体"/>
          <w:color w:val="auto"/>
          <w:highlight w:val="none"/>
          <w:lang w:eastAsia="zh-CN"/>
        </w:rPr>
        <w:t>确定</w:t>
      </w:r>
      <w:r>
        <w:rPr>
          <w:rFonts w:hint="eastAsia" w:ascii="宋体" w:hAnsi="宋体" w:cs="宋体"/>
          <w:color w:val="000000" w:themeColor="text1"/>
          <w:highlight w:val="none"/>
          <w14:textFill>
            <w14:solidFill>
              <w14:schemeClr w14:val="tx1"/>
            </w14:solidFill>
          </w14:textFill>
        </w:rPr>
        <w:t>成交候选人，或重新采购。采购人将有权拒绝该应答人在今后一段时间内的应答。给采购人造成的损失超过应答保证金数额的，成交人还应当对超过部分予以赔偿。</w:t>
      </w:r>
    </w:p>
    <w:p w14:paraId="4AA4947F">
      <w:pPr>
        <w:adjustRightInd w:val="0"/>
        <w:snapToGrid w:val="0"/>
        <w:spacing w:line="4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7.3.2发出成交通知书后，采购人无正当理由拒签合同的，或者在签订合同时向成交人提出附加条件的，采购人向成交人退还应答保证金；给成交人造成损失的，还应当赔偿损失。</w:t>
      </w:r>
    </w:p>
    <w:p w14:paraId="0FF8D9BF">
      <w:pPr>
        <w:adjustRightInd w:val="0"/>
        <w:snapToGrid w:val="0"/>
        <w:spacing w:line="4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7.3.3联合体成交的，联合体各方应当共同与采购人签订合同，就成交项目向采购人承担连带责任。</w:t>
      </w:r>
    </w:p>
    <w:p w14:paraId="0CE531D1">
      <w:pPr>
        <w:adjustRightInd w:val="0"/>
        <w:snapToGrid w:val="0"/>
        <w:spacing w:line="400" w:lineRule="exact"/>
        <w:ind w:firstLine="48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7.3.4采购人有权对应答人进行资质能力核查，如经核查其不具有承担应答项目的资质能力，或因其自身原因造成核查工作无法进行的，将视其不具备承担应答项目所需的资质能力，取消其成交人资格或</w:t>
      </w:r>
      <w:r>
        <w:rPr>
          <w:rFonts w:hint="eastAsia" w:ascii="宋体" w:hAnsi="宋体" w:cs="宋体"/>
          <w:color w:val="000000" w:themeColor="text1"/>
          <w:szCs w:val="21"/>
          <w:highlight w:val="none"/>
          <w14:textFill>
            <w14:solidFill>
              <w14:schemeClr w14:val="tx1"/>
            </w14:solidFill>
          </w14:textFill>
        </w:rPr>
        <w:t>不予签订合同</w:t>
      </w:r>
      <w:r>
        <w:rPr>
          <w:rFonts w:hint="eastAsia" w:ascii="宋体" w:hAnsi="宋体"/>
          <w:color w:val="000000" w:themeColor="text1"/>
          <w:highlight w:val="none"/>
          <w14:textFill>
            <w14:solidFill>
              <w14:schemeClr w14:val="tx1"/>
            </w14:solidFill>
          </w14:textFill>
        </w:rPr>
        <w:t>。</w:t>
      </w:r>
    </w:p>
    <w:p w14:paraId="1A4626D1">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7.3.5如同一包内包含两个或两个以上项目单位，成交人应分别与各项目单位签订合同。</w:t>
      </w:r>
    </w:p>
    <w:p w14:paraId="57A5650A">
      <w:pPr>
        <w:pStyle w:val="14"/>
        <w:adjustRightInd w:val="0"/>
        <w:snapToGrid w:val="0"/>
        <w:spacing w:line="400" w:lineRule="exact"/>
        <w:ind w:firstLineChars="200"/>
        <w:rPr>
          <w:rFonts w:hint="eastAsia" w:ascii="宋体" w:hAnsi="宋体" w:cs="宋体"/>
          <w:color w:val="000000" w:themeColor="text1"/>
          <w:szCs w:val="2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7.3.6 签订合同前，如果成交人出现事故，事故原因查明并得到全面修复前，采购人将有权取消成交人的成交资格。上述事故包括但不限于：（1）因成交人产品质量问题等原因引起的安全质量事故。（2）成交人在</w:t>
      </w:r>
      <w:r>
        <w:rPr>
          <w:rFonts w:hint="default" w:ascii="宋体" w:hAnsi="宋体"/>
          <w:color w:val="000000" w:themeColor="text1"/>
          <w:highlight w:val="none"/>
          <w14:textFill>
            <w14:solidFill>
              <w14:schemeClr w14:val="tx1"/>
            </w14:solidFill>
          </w14:textFill>
        </w:rPr>
        <w:t>水利</w:t>
      </w:r>
      <w:r>
        <w:rPr>
          <w:rFonts w:hint="eastAsia" w:ascii="宋体" w:hAnsi="宋体"/>
          <w:color w:val="000000" w:themeColor="text1"/>
          <w:highlight w:val="none"/>
          <w14:textFill>
            <w14:solidFill>
              <w14:schemeClr w14:val="tx1"/>
            </w14:solidFill>
          </w14:textFill>
        </w:rPr>
        <w:t>系统内出现因严重质量问题造成批量退货（退货量占本次采购预估数量10%及以上）事件等情况。</w:t>
      </w:r>
    </w:p>
    <w:p w14:paraId="5D6D2290">
      <w:pPr>
        <w:numPr>
          <w:ilvl w:val="255"/>
          <w:numId w:val="0"/>
        </w:numPr>
        <w:adjustRightInd w:val="0"/>
        <w:snapToGrid w:val="0"/>
        <w:spacing w:before="317" w:beforeLines="100" w:after="158" w:afterLines="50" w:line="400" w:lineRule="exact"/>
        <w:ind w:firstLine="482" w:firstLineChars="200"/>
        <w:outlineLvl w:val="1"/>
        <w:rPr>
          <w:rFonts w:eastAsia="黑体"/>
          <w:b/>
          <w:color w:val="000000" w:themeColor="text1"/>
          <w:sz w:val="24"/>
          <w:highlight w:val="none"/>
          <w14:textFill>
            <w14:solidFill>
              <w14:schemeClr w14:val="tx1"/>
            </w14:solidFill>
          </w14:textFill>
        </w:rPr>
      </w:pPr>
      <w:bookmarkStart w:id="71" w:name="_Toc13635"/>
      <w:bookmarkStart w:id="72" w:name="_Toc62566186"/>
      <w:bookmarkStart w:id="73" w:name="_Toc17576"/>
      <w:r>
        <w:rPr>
          <w:rFonts w:hint="eastAsia" w:eastAsia="黑体"/>
          <w:b/>
          <w:color w:val="000000" w:themeColor="text1"/>
          <w:sz w:val="24"/>
          <w:highlight w:val="none"/>
          <w14:textFill>
            <w14:solidFill>
              <w14:schemeClr w14:val="tx1"/>
            </w14:solidFill>
          </w14:textFill>
        </w:rPr>
        <w:t>8.</w:t>
      </w:r>
      <w:r>
        <w:rPr>
          <w:rFonts w:eastAsia="黑体"/>
          <w:b/>
          <w:color w:val="000000" w:themeColor="text1"/>
          <w:sz w:val="24"/>
          <w:highlight w:val="none"/>
          <w14:textFill>
            <w14:solidFill>
              <w14:schemeClr w14:val="tx1"/>
            </w14:solidFill>
          </w14:textFill>
        </w:rPr>
        <w:t>采购代理服务费</w:t>
      </w:r>
      <w:bookmarkEnd w:id="71"/>
      <w:bookmarkEnd w:id="72"/>
      <w:bookmarkEnd w:id="73"/>
    </w:p>
    <w:p w14:paraId="6668878A">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本项目不需缴纳</w:t>
      </w:r>
      <w:r>
        <w:rPr>
          <w:rFonts w:hint="eastAsia"/>
          <w:color w:val="000000" w:themeColor="text1"/>
          <w:highlight w:val="none"/>
          <w14:textFill>
            <w14:solidFill>
              <w14:schemeClr w14:val="tx1"/>
            </w14:solidFill>
          </w14:textFill>
        </w:rPr>
        <w:t>采购代理服务费</w:t>
      </w:r>
      <w:r>
        <w:rPr>
          <w:rFonts w:hint="eastAsia" w:ascii="宋体" w:hAnsi="宋体"/>
          <w:color w:val="000000" w:themeColor="text1"/>
          <w:highlight w:val="none"/>
          <w14:textFill>
            <w14:solidFill>
              <w14:schemeClr w14:val="tx1"/>
            </w14:solidFill>
          </w14:textFill>
        </w:rPr>
        <w:t>。</w:t>
      </w:r>
    </w:p>
    <w:p w14:paraId="45CBE084">
      <w:pPr>
        <w:numPr>
          <w:ilvl w:val="255"/>
          <w:numId w:val="0"/>
        </w:numPr>
        <w:adjustRightInd w:val="0"/>
        <w:snapToGrid w:val="0"/>
        <w:spacing w:before="317" w:beforeLines="100" w:after="158" w:afterLines="50" w:line="400" w:lineRule="exact"/>
        <w:ind w:firstLine="482" w:firstLineChars="200"/>
        <w:outlineLvl w:val="1"/>
        <w:rPr>
          <w:rFonts w:eastAsia="黑体"/>
          <w:b/>
          <w:color w:val="000000" w:themeColor="text1"/>
          <w:sz w:val="24"/>
          <w:highlight w:val="none"/>
          <w14:textFill>
            <w14:solidFill>
              <w14:schemeClr w14:val="tx1"/>
            </w14:solidFill>
          </w14:textFill>
        </w:rPr>
      </w:pPr>
      <w:bookmarkStart w:id="74" w:name="_Toc20226"/>
      <w:bookmarkStart w:id="75" w:name="_Toc8181"/>
      <w:bookmarkStart w:id="76" w:name="_Toc62566187"/>
      <w:r>
        <w:rPr>
          <w:rFonts w:hint="eastAsia" w:eastAsia="黑体"/>
          <w:b/>
          <w:color w:val="000000" w:themeColor="text1"/>
          <w:sz w:val="24"/>
          <w:highlight w:val="none"/>
          <w14:textFill>
            <w14:solidFill>
              <w14:schemeClr w14:val="tx1"/>
            </w14:solidFill>
          </w14:textFill>
        </w:rPr>
        <w:t>9.重新采购</w:t>
      </w:r>
      <w:bookmarkEnd w:id="74"/>
      <w:bookmarkEnd w:id="75"/>
      <w:bookmarkEnd w:id="76"/>
    </w:p>
    <w:p w14:paraId="677CDE40">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有下列情形之一的，采购人在分析采购失败的原因并采取相应措施后，将重新采购：</w:t>
      </w:r>
    </w:p>
    <w:p w14:paraId="73B1724F">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（1）经</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评审否决所有应答的；</w:t>
      </w:r>
    </w:p>
    <w:p w14:paraId="4A7FB023">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（2）经</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认定存在的有效应</w:t>
      </w:r>
      <w:r>
        <w:rPr>
          <w:rFonts w:hint="eastAsia"/>
          <w:color w:val="000000" w:themeColor="text1"/>
          <w:highlight w:val="none"/>
          <w14:textFill>
            <w14:solidFill>
              <w14:schemeClr w14:val="tx1"/>
            </w14:solidFill>
          </w14:textFill>
        </w:rPr>
        <w:t>答明显缺乏竞争的。</w:t>
      </w:r>
    </w:p>
    <w:p w14:paraId="1EEBD8FE">
      <w:pPr>
        <w:numPr>
          <w:ilvl w:val="255"/>
          <w:numId w:val="0"/>
        </w:numPr>
        <w:adjustRightInd w:val="0"/>
        <w:snapToGrid w:val="0"/>
        <w:spacing w:before="317" w:beforeLines="100" w:after="158" w:afterLines="50" w:line="400" w:lineRule="exact"/>
        <w:ind w:firstLine="482" w:firstLineChars="200"/>
        <w:outlineLvl w:val="1"/>
        <w:rPr>
          <w:rFonts w:eastAsia="黑体"/>
          <w:b/>
          <w:color w:val="000000" w:themeColor="text1"/>
          <w:sz w:val="24"/>
          <w:highlight w:val="none"/>
          <w14:textFill>
            <w14:solidFill>
              <w14:schemeClr w14:val="tx1"/>
            </w14:solidFill>
          </w14:textFill>
        </w:rPr>
      </w:pPr>
      <w:bookmarkStart w:id="77" w:name="_Toc27094"/>
      <w:bookmarkStart w:id="78" w:name="_Toc62566188"/>
      <w:bookmarkStart w:id="79" w:name="_Toc6514"/>
      <w:r>
        <w:rPr>
          <w:rFonts w:hint="eastAsia" w:eastAsia="黑体"/>
          <w:b/>
          <w:color w:val="000000" w:themeColor="text1"/>
          <w:sz w:val="24"/>
          <w:highlight w:val="none"/>
          <w14:textFill>
            <w14:solidFill>
              <w14:schemeClr w14:val="tx1"/>
            </w14:solidFill>
          </w14:textFill>
        </w:rPr>
        <w:t>10.纪律和监督</w:t>
      </w:r>
      <w:bookmarkEnd w:id="77"/>
      <w:bookmarkEnd w:id="78"/>
      <w:bookmarkEnd w:id="79"/>
    </w:p>
    <w:p w14:paraId="43D4D4B7">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80" w:name="_Toc62566189"/>
      <w:r>
        <w:rPr>
          <w:rFonts w:hint="eastAsia" w:ascii="黑体" w:hAnsi="黑体" w:eastAsia="黑体"/>
          <w:b/>
          <w:color w:val="000000" w:themeColor="text1"/>
          <w:highlight w:val="none"/>
          <w14:textFill>
            <w14:solidFill>
              <w14:schemeClr w14:val="tx1"/>
            </w14:solidFill>
          </w14:textFill>
        </w:rPr>
        <w:t>10.1 对采购人的纪律要求</w:t>
      </w:r>
      <w:bookmarkEnd w:id="80"/>
    </w:p>
    <w:p w14:paraId="1A2619EE">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采购人不得泄露采购活动中应当保守的情况和资料，不得与应答人串通损害国家利益、社会公共利益或者他人合法权益。</w:t>
      </w:r>
    </w:p>
    <w:p w14:paraId="3CB0829A">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81" w:name="_Toc62566190"/>
      <w:r>
        <w:rPr>
          <w:rFonts w:hint="eastAsia" w:ascii="黑体" w:hAnsi="黑体" w:eastAsia="黑体"/>
          <w:b/>
          <w:color w:val="000000" w:themeColor="text1"/>
          <w:highlight w:val="none"/>
          <w14:textFill>
            <w14:solidFill>
              <w14:schemeClr w14:val="tx1"/>
            </w14:solidFill>
          </w14:textFill>
        </w:rPr>
        <w:t>10.2 对应答人的纪律要求</w:t>
      </w:r>
      <w:bookmarkEnd w:id="81"/>
    </w:p>
    <w:p w14:paraId="3211590E">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应答人不得相互串通或者与采购人串通应答，不得向采购人或者</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成员行贿谋取成交，不得以他人名义或者以其他弄虚作假的方式应答或骗取成交；应答人不得以任何方式干扰、影响评审工作。</w:t>
      </w:r>
    </w:p>
    <w:p w14:paraId="0C65729C">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如果成交人有商业贿赂或欺诈行为，其成交资格将被取消。如果应答人在任何时候，被认定为有商业贿赂或欺诈行为，将被宣布在一个不定期的时间内被取消其成交资格或拒绝其应答。“商业贿赂行为”指在采购、评审和合同执行等过程中，应答人为影响采购人、采购代理机构、</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成员的行为而提供、给予任何有价物的行为或采购人、采购代理机构、</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成员为谋取不正当利益向应答人索取或接受应答人任何有价物的行为。“欺诈行为”指为了影响采购、评审和合同执行等过程而隐瞒或虚构事实、虚假应答，从而给采购人造成损害的行为，其中包括应答人之间的串通行为，旨在使应答价格成为人为的、无竞争性的价格，并使采购人无法从自由公开的竞争中受益。</w:t>
      </w:r>
    </w:p>
    <w:p w14:paraId="2B7BB5B8">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82" w:name="_Toc62566191"/>
      <w:r>
        <w:rPr>
          <w:rFonts w:hint="eastAsia" w:ascii="黑体" w:hAnsi="黑体" w:eastAsia="黑体"/>
          <w:b/>
          <w:color w:val="000000" w:themeColor="text1"/>
          <w:highlight w:val="none"/>
          <w14:textFill>
            <w14:solidFill>
              <w14:schemeClr w14:val="tx1"/>
            </w14:solidFill>
          </w14:textFill>
        </w:rPr>
        <w:t>10.3 对</w:t>
      </w:r>
      <w:r>
        <w:rPr>
          <w:rFonts w:hint="default" w:ascii="黑体" w:hAnsi="黑体" w:eastAsia="黑体"/>
          <w:b/>
          <w:color w:val="000000" w:themeColor="text1"/>
          <w:highlight w:val="none"/>
          <w14:textFill>
            <w14:solidFill>
              <w14:schemeClr w14:val="tx1"/>
            </w14:solidFill>
          </w14:textFill>
        </w:rPr>
        <w:t>评审小组</w:t>
      </w:r>
      <w:r>
        <w:rPr>
          <w:rFonts w:hint="eastAsia" w:ascii="黑体" w:hAnsi="黑体" w:eastAsia="黑体"/>
          <w:b/>
          <w:color w:val="000000" w:themeColor="text1"/>
          <w:highlight w:val="none"/>
          <w14:textFill>
            <w14:solidFill>
              <w14:schemeClr w14:val="tx1"/>
            </w14:solidFill>
          </w14:textFill>
        </w:rPr>
        <w:t>成员的纪律要求</w:t>
      </w:r>
      <w:bookmarkEnd w:id="82"/>
    </w:p>
    <w:p w14:paraId="7F16F223">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成员不得收受应答人及其利害关系人的财物或者其他好处，不得向应答人及其利害关系人透漏对应答文件的评审和比较、成交候选人的推荐情况以及评审有关的其他情况。在评审活动中，</w:t>
      </w:r>
      <w:r>
        <w:rPr>
          <w:rFonts w:hint="default" w:ascii="宋体" w:hAnsi="宋体"/>
          <w:color w:val="000000" w:themeColor="text1"/>
          <w:highlight w:val="none"/>
          <w14:textFill>
            <w14:solidFill>
              <w14:schemeClr w14:val="tx1"/>
            </w14:solidFill>
          </w14:textFill>
        </w:rPr>
        <w:t>评审小组</w:t>
      </w:r>
      <w:r>
        <w:rPr>
          <w:rFonts w:hint="eastAsia" w:ascii="宋体" w:hAnsi="宋体"/>
          <w:color w:val="000000" w:themeColor="text1"/>
          <w:highlight w:val="none"/>
          <w14:textFill>
            <w14:solidFill>
              <w14:schemeClr w14:val="tx1"/>
            </w14:solidFill>
          </w14:textFill>
        </w:rPr>
        <w:t>成员不得擅离职守，影响评审程序正常进行，不得使用本章“评审办法”没有规定的评审因素和标准进行评审。不得向采购人征询其确定成交人的意向，不得接受任何单位或者个人明示或者暗示提出的倾向或者排斥特定应答人的要求，不得有其他不客观、不公正履行职务的行为。</w:t>
      </w:r>
    </w:p>
    <w:p w14:paraId="7B86E903">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83" w:name="_Toc62566192"/>
      <w:r>
        <w:rPr>
          <w:rFonts w:hint="eastAsia" w:ascii="黑体" w:hAnsi="黑体" w:eastAsia="黑体"/>
          <w:b/>
          <w:color w:val="000000" w:themeColor="text1"/>
          <w:highlight w:val="none"/>
          <w14:textFill>
            <w14:solidFill>
              <w14:schemeClr w14:val="tx1"/>
            </w14:solidFill>
          </w14:textFill>
        </w:rPr>
        <w:t>10.4 对与评审活动有关的工作人员的纪律要求</w:t>
      </w:r>
      <w:bookmarkEnd w:id="83"/>
    </w:p>
    <w:p w14:paraId="4E138589">
      <w:pPr>
        <w:adjustRightInd w:val="0"/>
        <w:snapToGri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与评审活动有关的工作人员不得收受他人的财物或者其他好处，不得向他人透漏对应答文件的评审和比较、成交候选人的推荐情况以及评审有关的其他情况。在评审活动中，与评审活动有关的工作人员不得擅离职守，影响评审程序正常进行。</w:t>
      </w:r>
    </w:p>
    <w:p w14:paraId="0E7C4CAF">
      <w:pPr>
        <w:adjustRightInd w:val="0"/>
        <w:snapToGrid w:val="0"/>
        <w:spacing w:line="400" w:lineRule="exact"/>
        <w:ind w:firstLine="482" w:firstLineChars="200"/>
        <w:outlineLvl w:val="2"/>
        <w:rPr>
          <w:rFonts w:ascii="黑体" w:hAnsi="黑体" w:eastAsia="黑体"/>
          <w:b/>
          <w:color w:val="000000" w:themeColor="text1"/>
          <w:highlight w:val="none"/>
          <w14:textFill>
            <w14:solidFill>
              <w14:schemeClr w14:val="tx1"/>
            </w14:solidFill>
          </w14:textFill>
        </w:rPr>
      </w:pPr>
      <w:bookmarkStart w:id="84" w:name="_Toc62566193"/>
      <w:r>
        <w:rPr>
          <w:rFonts w:hint="eastAsia" w:ascii="黑体" w:hAnsi="黑体" w:eastAsia="黑体"/>
          <w:b/>
          <w:color w:val="000000" w:themeColor="text1"/>
          <w:highlight w:val="none"/>
          <w14:textFill>
            <w14:solidFill>
              <w14:schemeClr w14:val="tx1"/>
            </w14:solidFill>
          </w14:textFill>
        </w:rPr>
        <w:t>10.5 投诉</w:t>
      </w:r>
      <w:bookmarkEnd w:id="84"/>
    </w:p>
    <w:p w14:paraId="0204D83A">
      <w:pPr>
        <w:adjustRightInd w:val="0"/>
        <w:snapToGrid w:val="0"/>
        <w:spacing w:line="400" w:lineRule="exact"/>
        <w:ind w:firstLine="48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应答人或者其他利害关系人认为采购活动不符合法律、行政法规规定的，可依据相关法律法规的规定进行投诉</w:t>
      </w:r>
      <w:r>
        <w:rPr>
          <w:rFonts w:hint="eastAsia"/>
          <w:color w:val="000000" w:themeColor="text1"/>
          <w:highlight w:val="none"/>
          <w14:textFill>
            <w14:solidFill>
              <w14:schemeClr w14:val="tx1"/>
            </w14:solidFill>
          </w14:textFill>
        </w:rPr>
        <w:t>。</w:t>
      </w:r>
    </w:p>
    <w:p w14:paraId="2760456B">
      <w:pPr>
        <w:numPr>
          <w:ilvl w:val="255"/>
          <w:numId w:val="0"/>
        </w:numPr>
        <w:adjustRightInd w:val="0"/>
        <w:snapToGrid w:val="0"/>
        <w:spacing w:before="317" w:beforeLines="100" w:after="158" w:afterLines="50" w:line="400" w:lineRule="exact"/>
        <w:ind w:firstLine="241" w:firstLineChars="100"/>
        <w:outlineLvl w:val="1"/>
        <w:rPr>
          <w:rFonts w:eastAsia="黑体"/>
          <w:b/>
          <w:color w:val="000000" w:themeColor="text1"/>
          <w:sz w:val="24"/>
          <w:highlight w:val="none"/>
          <w14:textFill>
            <w14:solidFill>
              <w14:schemeClr w14:val="tx1"/>
            </w14:solidFill>
          </w14:textFill>
        </w:rPr>
      </w:pPr>
      <w:bookmarkStart w:id="85" w:name="_Toc1135"/>
      <w:bookmarkStart w:id="86" w:name="_Toc6884"/>
      <w:bookmarkStart w:id="87" w:name="_Toc62566194"/>
      <w:r>
        <w:rPr>
          <w:rFonts w:hint="eastAsia" w:eastAsia="黑体"/>
          <w:b/>
          <w:color w:val="000000" w:themeColor="text1"/>
          <w:sz w:val="24"/>
          <w:highlight w:val="none"/>
          <w14:textFill>
            <w14:solidFill>
              <w14:schemeClr w14:val="tx1"/>
            </w14:solidFill>
          </w14:textFill>
        </w:rPr>
        <w:t>11.需要补充的其他内容</w:t>
      </w:r>
      <w:bookmarkEnd w:id="85"/>
      <w:bookmarkEnd w:id="86"/>
      <w:bookmarkEnd w:id="87"/>
    </w:p>
    <w:p w14:paraId="3BA42EB0">
      <w:pPr>
        <w:adjustRightInd w:val="0"/>
        <w:snapToGrid w:val="0"/>
        <w:spacing w:line="400" w:lineRule="exact"/>
        <w:ind w:firstLine="480" w:firstLineChars="200"/>
        <w:rPr>
          <w:rFonts w:ascii="黑体" w:hAnsi="黑体"/>
          <w:color w:val="000000" w:themeColor="text1"/>
          <w:kern w:val="0"/>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需要补充的其他内容：</w:t>
      </w:r>
      <w:r>
        <w:rPr>
          <w:rFonts w:hint="eastAsia" w:ascii="宋体" w:hAnsi="宋体"/>
          <w:color w:val="000000" w:themeColor="text1"/>
          <w:highlight w:val="none"/>
          <w14:textFill>
            <w14:solidFill>
              <w14:schemeClr w14:val="tx1"/>
            </w14:solidFill>
          </w14:textFill>
        </w:rPr>
        <w:t>见应答人须知前附表。</w:t>
      </w:r>
      <w:r>
        <w:rPr>
          <w:color w:val="000000" w:themeColor="text1"/>
          <w:highlight w:val="none"/>
          <w14:textFill>
            <w14:solidFill>
              <w14:schemeClr w14:val="tx1"/>
            </w14:solidFill>
          </w14:textFill>
        </w:rPr>
        <w:br w:type="page"/>
      </w:r>
      <w:bookmarkStart w:id="88" w:name="_Toc184635087"/>
    </w:p>
    <w:p w14:paraId="3EF6A704">
      <w:pPr>
        <w:pStyle w:val="2"/>
        <w:keepNext w:val="0"/>
        <w:keepLines w:val="0"/>
        <w:tabs>
          <w:tab w:val="left" w:pos="802"/>
        </w:tabs>
        <w:autoSpaceDE w:val="0"/>
        <w:autoSpaceDN w:val="0"/>
        <w:spacing w:before="317" w:beforeLines="100" w:after="158" w:afterLines="50" w:line="400" w:lineRule="exact"/>
        <w:rPr>
          <w:rFonts w:ascii="黑体" w:hAnsi="黑体"/>
          <w:color w:val="000000" w:themeColor="text1"/>
          <w:kern w:val="0"/>
          <w:sz w:val="24"/>
          <w:szCs w:val="24"/>
          <w:highlight w:val="none"/>
          <w14:textFill>
            <w14:solidFill>
              <w14:schemeClr w14:val="tx1"/>
            </w14:solidFill>
          </w14:textFill>
        </w:rPr>
      </w:pPr>
      <w:r>
        <w:rPr>
          <w:rFonts w:hint="eastAsia" w:ascii="黑体" w:hAnsi="黑体"/>
          <w:color w:val="000000" w:themeColor="text1"/>
          <w:kern w:val="0"/>
          <w:sz w:val="24"/>
          <w:szCs w:val="24"/>
          <w:highlight w:val="none"/>
          <w14:textFill>
            <w14:solidFill>
              <w14:schemeClr w14:val="tx1"/>
            </w14:solidFill>
          </w14:textFill>
        </w:rPr>
        <w:t>附件1：评审结果异议单</w:t>
      </w:r>
    </w:p>
    <w:p w14:paraId="1325AE18">
      <w:pPr>
        <w:snapToGrid w:val="0"/>
        <w:jc w:val="center"/>
        <w:rPr>
          <w:rFonts w:eastAsia="黑体"/>
          <w:b/>
          <w:color w:val="000000" w:themeColor="text1"/>
          <w:kern w:val="0"/>
          <w:sz w:val="28"/>
          <w:highlight w:val="none"/>
          <w14:textFill>
            <w14:solidFill>
              <w14:schemeClr w14:val="tx1"/>
            </w14:solidFill>
          </w14:textFill>
        </w:rPr>
      </w:pPr>
      <w:r>
        <w:rPr>
          <w:rFonts w:hint="eastAsia" w:eastAsia="黑体"/>
          <w:b/>
          <w:color w:val="000000" w:themeColor="text1"/>
          <w:kern w:val="0"/>
          <w:sz w:val="28"/>
          <w:highlight w:val="none"/>
          <w14:textFill>
            <w14:solidFill>
              <w14:schemeClr w14:val="tx1"/>
            </w14:solidFill>
          </w14:textFill>
        </w:rPr>
        <w:t>评审结果异议单</w:t>
      </w:r>
    </w:p>
    <w:p w14:paraId="2C76432C">
      <w:pPr>
        <w:widowControl/>
        <w:jc w:val="left"/>
        <w:rPr>
          <w:rFonts w:eastAsia="Times New Roman"/>
          <w:color w:val="000000" w:themeColor="text1"/>
          <w:highlight w:val="none"/>
          <w14:textFill>
            <w14:solidFill>
              <w14:schemeClr w14:val="tx1"/>
            </w14:solidFill>
          </w14:textFill>
        </w:rPr>
      </w:pPr>
    </w:p>
    <w:tbl>
      <w:tblPr>
        <w:tblStyle w:val="1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0"/>
        <w:gridCol w:w="5040"/>
      </w:tblGrid>
      <w:tr w14:paraId="7CC3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990" w:type="dxa"/>
            <w:tcBorders>
              <w:top w:val="single" w:color="auto" w:sz="4" w:space="0"/>
              <w:left w:val="single" w:color="auto" w:sz="4" w:space="0"/>
              <w:bottom w:val="single" w:color="auto" w:sz="4" w:space="0"/>
              <w:right w:val="single" w:color="auto" w:sz="4" w:space="0"/>
            </w:tcBorders>
            <w:vAlign w:val="center"/>
          </w:tcPr>
          <w:p w14:paraId="2281DB9D">
            <w:pPr>
              <w:spacing w:line="360" w:lineRule="auto"/>
              <w:jc w:val="left"/>
              <w:rPr>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项目名称：</w:t>
            </w:r>
          </w:p>
        </w:tc>
        <w:tc>
          <w:tcPr>
            <w:tcW w:w="5040" w:type="dxa"/>
            <w:tcBorders>
              <w:top w:val="single" w:color="auto" w:sz="4" w:space="0"/>
              <w:left w:val="single" w:color="auto" w:sz="4" w:space="0"/>
              <w:bottom w:val="single" w:color="auto" w:sz="4" w:space="0"/>
              <w:right w:val="single" w:color="auto" w:sz="4" w:space="0"/>
            </w:tcBorders>
            <w:vAlign w:val="center"/>
          </w:tcPr>
          <w:p w14:paraId="60F745F3">
            <w:pPr>
              <w:spacing w:line="360" w:lineRule="auto"/>
              <w:jc w:val="left"/>
              <w:rPr>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采购编号：</w:t>
            </w:r>
          </w:p>
        </w:tc>
      </w:tr>
      <w:tr w14:paraId="53F1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990" w:type="dxa"/>
            <w:tcBorders>
              <w:top w:val="single" w:color="auto" w:sz="4" w:space="0"/>
              <w:left w:val="single" w:color="auto" w:sz="4" w:space="0"/>
              <w:bottom w:val="single" w:color="auto" w:sz="4" w:space="0"/>
              <w:right w:val="single" w:color="auto" w:sz="4" w:space="0"/>
            </w:tcBorders>
          </w:tcPr>
          <w:p w14:paraId="25BEE479">
            <w:pPr>
              <w:spacing w:line="360" w:lineRule="auto"/>
              <w:jc w:val="left"/>
              <w:rPr>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异议人名称：</w:t>
            </w:r>
          </w:p>
        </w:tc>
        <w:tc>
          <w:tcPr>
            <w:tcW w:w="5040" w:type="dxa"/>
            <w:tcBorders>
              <w:top w:val="single" w:color="auto" w:sz="4" w:space="0"/>
              <w:left w:val="single" w:color="auto" w:sz="4" w:space="0"/>
              <w:bottom w:val="single" w:color="auto" w:sz="4" w:space="0"/>
              <w:right w:val="single" w:color="auto" w:sz="4" w:space="0"/>
            </w:tcBorders>
            <w:vAlign w:val="center"/>
          </w:tcPr>
          <w:p w14:paraId="6064DD2F">
            <w:pPr>
              <w:spacing w:line="360" w:lineRule="auto"/>
              <w:jc w:val="left"/>
              <w:rPr>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异议人类型：</w:t>
            </w:r>
          </w:p>
          <w:p w14:paraId="68FFA7C3">
            <w:pPr>
              <w:spacing w:line="360" w:lineRule="auto"/>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□应答人□其他利害关系人</w:t>
            </w:r>
          </w:p>
        </w:tc>
      </w:tr>
      <w:tr w14:paraId="7C84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30" w:type="dxa"/>
            <w:gridSpan w:val="2"/>
            <w:tcBorders>
              <w:top w:val="single" w:color="auto" w:sz="4" w:space="0"/>
              <w:left w:val="single" w:color="auto" w:sz="4" w:space="0"/>
              <w:bottom w:val="single" w:color="auto" w:sz="4" w:space="0"/>
              <w:right w:val="single" w:color="auto" w:sz="4" w:space="0"/>
            </w:tcBorders>
            <w:vAlign w:val="center"/>
          </w:tcPr>
          <w:p w14:paraId="3449CABA">
            <w:pPr>
              <w:spacing w:line="360" w:lineRule="auto"/>
              <w:jc w:val="left"/>
              <w:rPr>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联系人：电话：</w:t>
            </w:r>
          </w:p>
          <w:p w14:paraId="3A883AD7">
            <w:pPr>
              <w:spacing w:line="360" w:lineRule="auto"/>
              <w:jc w:val="left"/>
              <w:rPr>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传真：电子邮件：</w:t>
            </w:r>
          </w:p>
        </w:tc>
      </w:tr>
      <w:tr w14:paraId="6D58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8" w:hRule="atLeast"/>
          <w:jc w:val="center"/>
        </w:trPr>
        <w:tc>
          <w:tcPr>
            <w:tcW w:w="10030" w:type="dxa"/>
            <w:gridSpan w:val="2"/>
            <w:tcBorders>
              <w:top w:val="single" w:color="auto" w:sz="4" w:space="0"/>
              <w:left w:val="single" w:color="auto" w:sz="4" w:space="0"/>
              <w:bottom w:val="single" w:color="auto" w:sz="4" w:space="0"/>
              <w:right w:val="single" w:color="auto" w:sz="4" w:space="0"/>
            </w:tcBorders>
          </w:tcPr>
          <w:p w14:paraId="6438DAE0">
            <w:pPr>
              <w:widowControl/>
              <w:spacing w:line="400" w:lineRule="exact"/>
              <w:rPr>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异议内容：</w:t>
            </w:r>
          </w:p>
          <w:p w14:paraId="25B1404E">
            <w:pPr>
              <w:keepNext/>
              <w:keepLines/>
              <w:widowControl/>
              <w:wordWrap w:val="0"/>
              <w:spacing w:before="260" w:after="260" w:line="400" w:lineRule="exact"/>
              <w:ind w:right="600"/>
              <w:jc w:val="right"/>
              <w:rPr>
                <w:color w:val="000000" w:themeColor="text1"/>
                <w:szCs w:val="21"/>
                <w:highlight w:val="none"/>
                <w14:textFill>
                  <w14:solidFill>
                    <w14:schemeClr w14:val="tx1"/>
                  </w14:solidFill>
                </w14:textFill>
              </w:rPr>
            </w:pPr>
          </w:p>
          <w:p w14:paraId="2F315E4F">
            <w:pPr>
              <w:keepNext/>
              <w:keepLines/>
              <w:widowControl/>
              <w:wordWrap w:val="0"/>
              <w:spacing w:before="260" w:after="260" w:line="400" w:lineRule="exact"/>
              <w:ind w:right="600"/>
              <w:jc w:val="right"/>
              <w:rPr>
                <w:color w:val="000000" w:themeColor="text1"/>
                <w:szCs w:val="21"/>
                <w:highlight w:val="none"/>
                <w14:textFill>
                  <w14:solidFill>
                    <w14:schemeClr w14:val="tx1"/>
                  </w14:solidFill>
                </w14:textFill>
              </w:rPr>
            </w:pPr>
          </w:p>
          <w:p w14:paraId="5B346AC2">
            <w:pPr>
              <w:keepNext/>
              <w:keepLines/>
              <w:widowControl/>
              <w:wordWrap w:val="0"/>
              <w:spacing w:before="260" w:after="260" w:line="400" w:lineRule="exact"/>
              <w:ind w:right="600"/>
              <w:jc w:val="right"/>
              <w:rPr>
                <w:color w:val="000000" w:themeColor="text1"/>
                <w:szCs w:val="21"/>
                <w:highlight w:val="none"/>
                <w14:textFill>
                  <w14:solidFill>
                    <w14:schemeClr w14:val="tx1"/>
                  </w14:solidFill>
                </w14:textFill>
              </w:rPr>
            </w:pPr>
          </w:p>
          <w:p w14:paraId="4252E3D3">
            <w:pPr>
              <w:keepNext/>
              <w:keepLines/>
              <w:widowControl/>
              <w:wordWrap w:val="0"/>
              <w:spacing w:before="260" w:after="260" w:line="400" w:lineRule="exact"/>
              <w:ind w:right="600"/>
              <w:jc w:val="right"/>
              <w:rPr>
                <w:color w:val="000000" w:themeColor="text1"/>
                <w:szCs w:val="21"/>
                <w:highlight w:val="none"/>
                <w14:textFill>
                  <w14:solidFill>
                    <w14:schemeClr w14:val="tx1"/>
                  </w14:solidFill>
                </w14:textFill>
              </w:rPr>
            </w:pPr>
          </w:p>
          <w:p w14:paraId="6EC439B3">
            <w:pPr>
              <w:keepNext/>
              <w:keepLines/>
              <w:widowControl/>
              <w:wordWrap w:val="0"/>
              <w:spacing w:before="260" w:after="260" w:line="400" w:lineRule="exact"/>
              <w:ind w:right="600"/>
              <w:jc w:val="right"/>
              <w:rPr>
                <w:color w:val="000000" w:themeColor="text1"/>
                <w:szCs w:val="21"/>
                <w:highlight w:val="none"/>
                <w14:textFill>
                  <w14:solidFill>
                    <w14:schemeClr w14:val="tx1"/>
                  </w14:solidFill>
                </w14:textFill>
              </w:rPr>
            </w:pPr>
          </w:p>
          <w:p w14:paraId="59808246">
            <w:pPr>
              <w:keepNext/>
              <w:keepLines/>
              <w:widowControl/>
              <w:wordWrap w:val="0"/>
              <w:spacing w:before="260" w:after="260" w:line="400" w:lineRule="exact"/>
              <w:ind w:right="600"/>
              <w:jc w:val="right"/>
              <w:rPr>
                <w:color w:val="000000" w:themeColor="text1"/>
                <w:szCs w:val="21"/>
                <w:highlight w:val="none"/>
                <w14:textFill>
                  <w14:solidFill>
                    <w14:schemeClr w14:val="tx1"/>
                  </w14:solidFill>
                </w14:textFill>
              </w:rPr>
            </w:pPr>
          </w:p>
          <w:p w14:paraId="777000A3">
            <w:pPr>
              <w:keepNext/>
              <w:keepLines/>
              <w:widowControl/>
              <w:wordWrap w:val="0"/>
              <w:spacing w:before="260" w:after="260" w:line="400" w:lineRule="exact"/>
              <w:ind w:right="600"/>
              <w:jc w:val="right"/>
              <w:rPr>
                <w:color w:val="000000" w:themeColor="text1"/>
                <w:szCs w:val="21"/>
                <w:highlight w:val="none"/>
                <w14:textFill>
                  <w14:solidFill>
                    <w14:schemeClr w14:val="tx1"/>
                  </w14:solidFill>
                </w14:textFill>
              </w:rPr>
            </w:pPr>
          </w:p>
          <w:p w14:paraId="3EFC452D">
            <w:pPr>
              <w:wordWrap w:val="0"/>
              <w:spacing w:line="360" w:lineRule="auto"/>
              <w:ind w:right="1080" w:firstLine="4800" w:firstLineChars="20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异议人</w:t>
            </w:r>
            <w:r>
              <w:rPr>
                <w:rFonts w:hint="eastAsia" w:ascii="宋体" w:hAnsi="宋体"/>
                <w:color w:val="000000" w:themeColor="text1"/>
                <w:kern w:val="0"/>
                <w:szCs w:val="21"/>
                <w:highlight w:val="none"/>
                <w14:textFill>
                  <w14:solidFill>
                    <w14:schemeClr w14:val="tx1"/>
                  </w14:solidFill>
                </w14:textFill>
              </w:rPr>
              <w:t>法定代表人（单位负责人）或授权代表</w:t>
            </w:r>
            <w:r>
              <w:rPr>
                <w:rFonts w:hint="eastAsia" w:ascii="宋体" w:hAnsi="宋体"/>
                <w:color w:val="000000" w:themeColor="text1"/>
                <w:szCs w:val="21"/>
                <w:highlight w:val="none"/>
                <w14:textFill>
                  <w14:solidFill>
                    <w14:schemeClr w14:val="tx1"/>
                  </w14:solidFill>
                </w14:textFill>
              </w:rPr>
              <w:t>签字：</w:t>
            </w:r>
          </w:p>
          <w:p w14:paraId="771C5F79">
            <w:pPr>
              <w:wordWrap w:val="0"/>
              <w:spacing w:line="360" w:lineRule="auto"/>
              <w:ind w:right="1080" w:firstLine="7200" w:firstLineChars="30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异议人盖章：</w:t>
            </w:r>
          </w:p>
          <w:p w14:paraId="392C7688">
            <w:pPr>
              <w:widowControl/>
              <w:spacing w:line="400" w:lineRule="exact"/>
              <w:ind w:left="98" w:firstLine="480" w:firstLineChars="200"/>
              <w:rPr>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日期：</w:t>
            </w:r>
          </w:p>
        </w:tc>
      </w:tr>
    </w:tbl>
    <w:p w14:paraId="4AD467ED">
      <w:pPr>
        <w:pStyle w:val="6"/>
        <w:rPr>
          <w:color w:val="000000" w:themeColor="text1"/>
          <w:highlight w:val="none"/>
          <w14:textFill>
            <w14:solidFill>
              <w14:schemeClr w14:val="tx1"/>
            </w14:solidFill>
          </w14:textFill>
        </w:rPr>
      </w:pPr>
    </w:p>
    <w:p w14:paraId="67F4D8E6">
      <w:pPr>
        <w:adjustRightInd w:val="0"/>
        <w:snapToGrid w:val="0"/>
        <w:spacing w:line="400" w:lineRule="exact"/>
        <w:ind w:firstLine="437"/>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bookmarkEnd w:id="88"/>
    <w:p w14:paraId="430BE659">
      <w:pPr>
        <w:adjustRightInd w:val="0"/>
        <w:snapToGrid w:val="0"/>
        <w:jc w:val="center"/>
        <w:outlineLvl w:val="0"/>
        <w:rPr>
          <w:rFonts w:ascii="黑体" w:hAnsi="黑体" w:eastAsia="黑体"/>
          <w:b/>
          <w:color w:val="000000" w:themeColor="text1"/>
          <w:sz w:val="36"/>
          <w:szCs w:val="36"/>
          <w:highlight w:val="none"/>
          <w14:textFill>
            <w14:solidFill>
              <w14:schemeClr w14:val="tx1"/>
            </w14:solidFill>
          </w14:textFill>
        </w:rPr>
      </w:pPr>
      <w:bookmarkStart w:id="89" w:name="_Toc18601"/>
      <w:bookmarkStart w:id="90" w:name="_Toc18024"/>
      <w:bookmarkStart w:id="91" w:name="_Toc62566197"/>
      <w:r>
        <w:rPr>
          <w:rFonts w:hint="eastAsia" w:ascii="黑体" w:eastAsia="黑体"/>
          <w:b/>
          <w:color w:val="000000" w:themeColor="text1"/>
          <w:sz w:val="28"/>
          <w:szCs w:val="28"/>
          <w:highlight w:val="none"/>
          <w14:textFill>
            <w14:solidFill>
              <w14:schemeClr w14:val="tx1"/>
            </w14:solidFill>
          </w14:textFill>
        </w:rPr>
        <w:t>第三章  合同条款</w:t>
      </w:r>
    </w:p>
    <w:p w14:paraId="3A626319">
      <w:pPr>
        <w:adjustRightInd w:val="0"/>
        <w:snapToGrid w:val="0"/>
        <w:jc w:val="center"/>
        <w:rPr>
          <w:rFonts w:ascii="黑体" w:hAnsi="黑体" w:eastAsia="黑体"/>
          <w:b/>
          <w:color w:val="000000" w:themeColor="text1"/>
          <w:sz w:val="28"/>
          <w:szCs w:val="28"/>
          <w:highlight w:val="none"/>
          <w14:textFill>
            <w14:solidFill>
              <w14:schemeClr w14:val="tx1"/>
            </w14:solidFill>
          </w14:textFill>
        </w:rPr>
      </w:pPr>
    </w:p>
    <w:p w14:paraId="36BB12FC">
      <w:pPr>
        <w:adjustRightInd w:val="0"/>
        <w:snapToGrid w:val="0"/>
        <w:jc w:val="center"/>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单独成册</w:t>
      </w:r>
    </w:p>
    <w:p w14:paraId="4A56FAC8">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5099D1F">
      <w:pPr>
        <w:adjustRightInd w:val="0"/>
        <w:snapToGrid w:val="0"/>
        <w:jc w:val="center"/>
        <w:outlineLvl w:val="0"/>
        <w:rPr>
          <w:rFonts w:hint="default" w:ascii="黑体" w:hAnsi="黑体" w:eastAsia="黑体"/>
          <w:b/>
          <w:color w:val="000000" w:themeColor="text1"/>
          <w:sz w:val="36"/>
          <w:szCs w:val="36"/>
          <w:highlight w:val="none"/>
          <w14:textFill>
            <w14:solidFill>
              <w14:schemeClr w14:val="tx1"/>
            </w14:solidFill>
          </w14:textFill>
        </w:rPr>
      </w:pPr>
      <w:r>
        <w:rPr>
          <w:rFonts w:hint="eastAsia" w:ascii="黑体" w:eastAsia="黑体"/>
          <w:b/>
          <w:color w:val="000000" w:themeColor="text1"/>
          <w:sz w:val="28"/>
          <w:szCs w:val="28"/>
          <w:highlight w:val="none"/>
          <w14:textFill>
            <w14:solidFill>
              <w14:schemeClr w14:val="tx1"/>
            </w14:solidFill>
          </w14:textFill>
        </w:rPr>
        <w:t>第</w:t>
      </w:r>
      <w:r>
        <w:rPr>
          <w:rFonts w:hint="default" w:ascii="黑体" w:eastAsia="黑体"/>
          <w:b/>
          <w:color w:val="000000" w:themeColor="text1"/>
          <w:sz w:val="28"/>
          <w:szCs w:val="28"/>
          <w:highlight w:val="none"/>
          <w14:textFill>
            <w14:solidFill>
              <w14:schemeClr w14:val="tx1"/>
            </w14:solidFill>
          </w14:textFill>
        </w:rPr>
        <w:t>四</w:t>
      </w:r>
      <w:r>
        <w:rPr>
          <w:rFonts w:hint="eastAsia" w:ascii="黑体" w:eastAsia="黑体"/>
          <w:b/>
          <w:color w:val="000000" w:themeColor="text1"/>
          <w:sz w:val="28"/>
          <w:szCs w:val="28"/>
          <w:highlight w:val="none"/>
          <w14:textFill>
            <w14:solidFill>
              <w14:schemeClr w14:val="tx1"/>
            </w14:solidFill>
          </w14:textFill>
        </w:rPr>
        <w:t xml:space="preserve">章  </w:t>
      </w:r>
      <w:r>
        <w:rPr>
          <w:rFonts w:hint="default" w:ascii="黑体" w:eastAsia="黑体"/>
          <w:b/>
          <w:color w:val="000000" w:themeColor="text1"/>
          <w:sz w:val="28"/>
          <w:szCs w:val="28"/>
          <w:highlight w:val="none"/>
          <w14:textFill>
            <w14:solidFill>
              <w14:schemeClr w14:val="tx1"/>
            </w14:solidFill>
          </w14:textFill>
        </w:rPr>
        <w:t>工程量清单</w:t>
      </w:r>
    </w:p>
    <w:p w14:paraId="148364D8">
      <w:pPr>
        <w:adjustRightInd w:val="0"/>
        <w:snapToGrid w:val="0"/>
        <w:jc w:val="center"/>
        <w:rPr>
          <w:rFonts w:ascii="黑体" w:hAnsi="黑体" w:eastAsia="黑体"/>
          <w:b/>
          <w:color w:val="000000" w:themeColor="text1"/>
          <w:sz w:val="28"/>
          <w:szCs w:val="28"/>
          <w:highlight w:val="none"/>
          <w14:textFill>
            <w14:solidFill>
              <w14:schemeClr w14:val="tx1"/>
            </w14:solidFill>
          </w14:textFill>
        </w:rPr>
      </w:pPr>
    </w:p>
    <w:p w14:paraId="1A0D6C70">
      <w:pPr>
        <w:adjustRightInd w:val="0"/>
        <w:snapToGrid w:val="0"/>
        <w:jc w:val="center"/>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单独成册</w:t>
      </w:r>
    </w:p>
    <w:p w14:paraId="38763D2B">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87569CD">
      <w:pPr>
        <w:jc w:val="center"/>
        <w:outlineLvl w:val="0"/>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第</w:t>
      </w:r>
      <w:r>
        <w:rPr>
          <w:rFonts w:hint="default" w:ascii="黑体" w:hAnsi="黑体" w:eastAsia="黑体"/>
          <w:b/>
          <w:color w:val="000000" w:themeColor="text1"/>
          <w:sz w:val="28"/>
          <w:szCs w:val="28"/>
          <w:highlight w:val="none"/>
          <w14:textFill>
            <w14:solidFill>
              <w14:schemeClr w14:val="tx1"/>
            </w14:solidFill>
          </w14:textFill>
        </w:rPr>
        <w:t>五</w:t>
      </w:r>
      <w:r>
        <w:rPr>
          <w:rFonts w:hint="eastAsia" w:ascii="黑体" w:hAnsi="黑体" w:eastAsia="黑体"/>
          <w:b/>
          <w:color w:val="000000" w:themeColor="text1"/>
          <w:sz w:val="28"/>
          <w:szCs w:val="28"/>
          <w:highlight w:val="none"/>
          <w14:textFill>
            <w14:solidFill>
              <w14:schemeClr w14:val="tx1"/>
            </w14:solidFill>
          </w14:textFill>
        </w:rPr>
        <w:t xml:space="preserve">章  </w:t>
      </w:r>
      <w:r>
        <w:rPr>
          <w:rFonts w:hint="default" w:ascii="黑体" w:hAnsi="黑体" w:eastAsia="黑体"/>
          <w:b/>
          <w:color w:val="000000" w:themeColor="text1"/>
          <w:sz w:val="28"/>
          <w:szCs w:val="28"/>
          <w:highlight w:val="none"/>
          <w14:textFill>
            <w14:solidFill>
              <w14:schemeClr w14:val="tx1"/>
            </w14:solidFill>
          </w14:textFill>
        </w:rPr>
        <w:t>采购标准和要求</w:t>
      </w:r>
      <w:bookmarkEnd w:id="89"/>
      <w:bookmarkEnd w:id="90"/>
      <w:bookmarkEnd w:id="91"/>
    </w:p>
    <w:p w14:paraId="5FB5ECB4">
      <w:pPr>
        <w:adjustRightInd w:val="0"/>
        <w:snapToGrid w:val="0"/>
        <w:spacing w:line="480" w:lineRule="exact"/>
        <w:ind w:firstLine="480" w:firstLineChars="200"/>
        <w:outlineLvl w:val="2"/>
        <w:rPr>
          <w:rFonts w:cs="黑体" w:asciiTheme="minorEastAsia" w:hAnsiTheme="minorEastAsia"/>
          <w:kern w:val="0"/>
          <w:sz w:val="24"/>
          <w:szCs w:val="24"/>
        </w:rPr>
      </w:pPr>
      <w:r>
        <w:rPr>
          <w:rFonts w:hint="eastAsia" w:cs="黑体" w:asciiTheme="minorEastAsia" w:hAnsiTheme="minorEastAsia"/>
          <w:kern w:val="0"/>
          <w:sz w:val="24"/>
          <w:szCs w:val="24"/>
        </w:rPr>
        <w:t>一、建筑装饰装修工程</w:t>
      </w:r>
    </w:p>
    <w:p w14:paraId="5231F6A2">
      <w:pPr>
        <w:adjustRightInd w:val="0"/>
        <w:snapToGrid w:val="0"/>
        <w:spacing w:line="480" w:lineRule="exact"/>
        <w:ind w:firstLine="480" w:firstLineChars="200"/>
        <w:rPr>
          <w:rFonts w:cs="黑体" w:asciiTheme="minorEastAsia" w:hAnsiTheme="minorEastAsia"/>
          <w:kern w:val="0"/>
          <w:sz w:val="24"/>
          <w:szCs w:val="24"/>
        </w:rPr>
      </w:pPr>
      <w:r>
        <w:rPr>
          <w:rFonts w:hint="eastAsia" w:cs="黑体" w:asciiTheme="minorEastAsia" w:hAnsiTheme="minorEastAsia"/>
          <w:kern w:val="0"/>
          <w:sz w:val="24"/>
          <w:szCs w:val="24"/>
        </w:rPr>
        <w:t>1、一般要求</w:t>
      </w:r>
    </w:p>
    <w:p w14:paraId="5EDA413C">
      <w:pPr>
        <w:pStyle w:val="15"/>
        <w:snapToGrid w:val="0"/>
        <w:spacing w:line="440" w:lineRule="atLeast"/>
        <w:ind w:firstLine="480" w:firstLineChars="200"/>
        <w:jc w:val="left"/>
        <w:rPr>
          <w:rFonts w:hint="eastAsia"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承包人装修范围涉及的所有材料，承包人应提供品牌、样式、规格、型号、颜色、说明书、样板、样块等，经发包人、监理人及设计单位确认后，封样，以此验收。承包人装修需先提供样板间，经发包人、监理人及设计单位确认后，方可大面积施工。</w:t>
      </w:r>
    </w:p>
    <w:p w14:paraId="3ABBA7EA">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）隐蔽工程需经监理人验收合格后，方可进行下一道工序施工。</w:t>
      </w:r>
    </w:p>
    <w:p w14:paraId="44612133">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）承包人直至移交发包人前，负有对建筑与装修工程成品保护的责任。</w:t>
      </w:r>
    </w:p>
    <w:p w14:paraId="408022CF">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2、室内装修</w:t>
      </w:r>
      <w:r>
        <w:rPr>
          <w:rFonts w:hint="eastAsia" w:cs="黑体" w:asciiTheme="minorEastAsia" w:hAnsiTheme="minorEastAsia"/>
          <w:kern w:val="0"/>
          <w:sz w:val="24"/>
          <w:szCs w:val="24"/>
        </w:rPr>
        <w:tab/>
      </w:r>
    </w:p>
    <w:p w14:paraId="20DAE2F9">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）室内装修施工承包人应提供样板间，经发包人、监理人及设计单位确认后，方可大面积施工。</w:t>
      </w:r>
    </w:p>
    <w:p w14:paraId="6FB02205">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）装饰工程涉及使用的装修材料有地砖、木材、硬包、金属件、石膏板、涂料、油漆、洁具及灯具等，其各材料标准应达到国家规范要求，均应在采购前提供样品给发包人审核。</w:t>
      </w:r>
    </w:p>
    <w:p w14:paraId="4966CD42">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）根据项目特性和中水东北公司规程，装饰材料需满足国家环保节能以及经济合理性和耐久性的要求。装修的做法除注明之外，其他做法均按国家的标准图集的做法施工，并须严格遵守相应的国家验收规范。</w:t>
      </w:r>
    </w:p>
    <w:p w14:paraId="4FD457BD">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）装饰工程用的所有材料进场时均应提供产品合格证，并经监理人审核后才允许进场，产品合格证将存档并最终作为验收资料。</w:t>
      </w:r>
    </w:p>
    <w:p w14:paraId="7FED3644">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）装饰工程应在基体或基层的质量检验合格后，方可施工。抹灰和饰面工程的施工，应自上而下进行。室内吊顶、地砖、墙砖施工时分隔、排砖需要施工方进行详细设计。</w:t>
      </w:r>
    </w:p>
    <w:p w14:paraId="528F43C7">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）室内装饰工程的施工，应待屋面防水工程完工后，并在不致被后继工程所损坏和玷污的条件下进行。室内抹灰若需在屋面防水工程完工前施工时，必须采取防护措施。</w:t>
      </w:r>
    </w:p>
    <w:p w14:paraId="528199E0">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）室内装饰工程的施工顺序，应符合下列规定：</w:t>
      </w:r>
    </w:p>
    <w:p w14:paraId="128E19BF">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抹灰、饰面等工程，应待隔墙、金属、木门窗框的安装、暗装的管道和电线管的敷设、电气预埋件、预制钢筋混凝土楼板灌缝等完工后进行</w:t>
      </w:r>
      <w:r>
        <w:rPr>
          <w:rFonts w:asciiTheme="minorEastAsia" w:hAnsiTheme="minorEastAsia" w:eastAsiaTheme="minorEastAsia"/>
          <w:sz w:val="24"/>
          <w:szCs w:val="24"/>
        </w:rPr>
        <w:t>.</w:t>
      </w:r>
    </w:p>
    <w:p w14:paraId="6ECF1B4B">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钢、木门窗及其玻璃工程，根据地区气候条件和抹灰工程的要求，可在湿作业前进行。</w:t>
      </w:r>
    </w:p>
    <w:p w14:paraId="07722EFC">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铝合金、塑钢、涂色镀锌钢板门窗及其玻璃工程，应在湿作业完工后进行。</w:t>
      </w:r>
    </w:p>
    <w:p w14:paraId="5BEB4FB0">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④</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有抹灰基层的饰面板工程，应待抹灰工程完工后进行。</w:t>
      </w:r>
    </w:p>
    <w:p w14:paraId="100D85BC">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⑤</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涂料、刷浆工程，应在各种地（楼）面的面层和明装电线施工前，管道设备试压后进行。</w:t>
      </w:r>
    </w:p>
    <w:p w14:paraId="5DDB8D81">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装饰工程施工安全技术、劳动保护、防火、防毒等的要求，应按国家现行的有关规定执行。其材料堆放应注意安全防火。</w:t>
      </w:r>
    </w:p>
    <w:p w14:paraId="481D4274">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）建筑内部装修材料应满足燃烧性能等级及消防设计要求。</w:t>
      </w:r>
    </w:p>
    <w:p w14:paraId="5E35F56E">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）本工程涉及使用的装修材料均满足环保要求：</w:t>
      </w:r>
    </w:p>
    <w:p w14:paraId="3932BDB0">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石材及陶瓷制品：内照射指数≤</w:t>
      </w:r>
      <w:r>
        <w:rPr>
          <w:rFonts w:asciiTheme="minorEastAsia" w:hAnsiTheme="minorEastAsia" w:eastAsiaTheme="minorEastAsia"/>
          <w:sz w:val="24"/>
          <w:szCs w:val="24"/>
        </w:rPr>
        <w:t>1.0</w:t>
      </w:r>
      <w:r>
        <w:rPr>
          <w:rFonts w:hint="eastAsia" w:asciiTheme="minorEastAsia" w:hAnsiTheme="minorEastAsia" w:eastAsiaTheme="minorEastAsia"/>
          <w:sz w:val="24"/>
          <w:szCs w:val="24"/>
        </w:rPr>
        <w:t>；外照射指数≤</w:t>
      </w:r>
      <w:r>
        <w:rPr>
          <w:rFonts w:asciiTheme="minorEastAsia" w:hAnsiTheme="minorEastAsia" w:eastAsiaTheme="minorEastAsia"/>
          <w:sz w:val="24"/>
          <w:szCs w:val="24"/>
        </w:rPr>
        <w:t>1.3</w:t>
      </w:r>
      <w:r>
        <w:rPr>
          <w:rFonts w:hint="eastAsia" w:asciiTheme="minorEastAsia" w:hAnsiTheme="minorEastAsia" w:eastAsiaTheme="minorEastAsia"/>
          <w:sz w:val="24"/>
          <w:szCs w:val="24"/>
        </w:rPr>
        <w:t>。</w:t>
      </w:r>
    </w:p>
    <w:p w14:paraId="399B3315">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人造木板及饰面人造板：</w:t>
      </w:r>
      <w:r>
        <w:rPr>
          <w:rFonts w:asciiTheme="minorEastAsia" w:hAnsiTheme="minorEastAsia" w:eastAsiaTheme="minorEastAsia"/>
          <w:sz w:val="24"/>
          <w:szCs w:val="24"/>
        </w:rPr>
        <w:t>E1</w:t>
      </w:r>
      <w:r>
        <w:rPr>
          <w:rFonts w:hint="eastAsia" w:asciiTheme="minorEastAsia" w:hAnsiTheme="minorEastAsia" w:eastAsiaTheme="minorEastAsia"/>
          <w:sz w:val="24"/>
          <w:szCs w:val="24"/>
        </w:rPr>
        <w:t>级。</w:t>
      </w:r>
    </w:p>
    <w:p w14:paraId="5B99044A">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涂料：水性涂料</w:t>
      </w:r>
      <w:r>
        <w:rPr>
          <w:rFonts w:asciiTheme="minorEastAsia" w:hAnsiTheme="minorEastAsia" w:eastAsiaTheme="minorEastAsia"/>
          <w:sz w:val="24"/>
          <w:szCs w:val="24"/>
        </w:rPr>
        <w:t>VOCs(g/L)</w:t>
      </w:r>
      <w:r>
        <w:rPr>
          <w:rFonts w:hint="eastAsia" w:asciiTheme="minorEastAsia" w:hAnsiTheme="minorEastAsia" w:eastAsiaTheme="minorEastAsia"/>
          <w:sz w:val="24"/>
          <w:szCs w:val="24"/>
        </w:rPr>
        <w:t>≤</w:t>
      </w:r>
      <w:r>
        <w:rPr>
          <w:rFonts w:asciiTheme="minorEastAsia" w:hAnsiTheme="minorEastAsia" w:eastAsiaTheme="minorEastAsia"/>
          <w:sz w:val="24"/>
          <w:szCs w:val="24"/>
        </w:rPr>
        <w:t>200</w:t>
      </w:r>
      <w:r>
        <w:rPr>
          <w:rFonts w:hint="eastAsia" w:asciiTheme="minorEastAsia" w:hAnsiTheme="minorEastAsia" w:eastAsiaTheme="minorEastAsia"/>
          <w:sz w:val="24"/>
          <w:szCs w:val="24"/>
        </w:rPr>
        <w:t>；游离甲醛</w:t>
      </w:r>
      <w:r>
        <w:rPr>
          <w:rFonts w:asciiTheme="minorEastAsia" w:hAnsiTheme="minorEastAsia" w:eastAsiaTheme="minorEastAsia"/>
          <w:sz w:val="24"/>
          <w:szCs w:val="24"/>
        </w:rPr>
        <w:t>(g/kg)</w:t>
      </w:r>
      <w:r>
        <w:rPr>
          <w:rFonts w:hint="eastAsia" w:asciiTheme="minorEastAsia" w:hAnsiTheme="minorEastAsia" w:eastAsiaTheme="minorEastAsia"/>
          <w:sz w:val="24"/>
          <w:szCs w:val="24"/>
        </w:rPr>
        <w:t>≤</w:t>
      </w:r>
      <w:r>
        <w:rPr>
          <w:rFonts w:asciiTheme="minorEastAsia" w:hAnsiTheme="minorEastAsia" w:eastAsiaTheme="minorEastAsia"/>
          <w:sz w:val="24"/>
          <w:szCs w:val="24"/>
        </w:rPr>
        <w:t>0.1</w:t>
      </w:r>
      <w:r>
        <w:rPr>
          <w:rFonts w:hint="eastAsia" w:asciiTheme="minorEastAsia" w:hAnsiTheme="minorEastAsia" w:eastAsiaTheme="minorEastAsia"/>
          <w:sz w:val="24"/>
          <w:szCs w:val="24"/>
        </w:rPr>
        <w:t>；硝基清漆</w:t>
      </w:r>
      <w:r>
        <w:rPr>
          <w:rFonts w:asciiTheme="minorEastAsia" w:hAnsiTheme="minorEastAsia" w:eastAsiaTheme="minorEastAsia"/>
          <w:sz w:val="24"/>
          <w:szCs w:val="24"/>
        </w:rPr>
        <w:t>VOCs(g/L)</w:t>
      </w:r>
      <w:r>
        <w:rPr>
          <w:rFonts w:hint="eastAsia" w:asciiTheme="minorEastAsia" w:hAnsiTheme="minorEastAsia" w:eastAsiaTheme="minorEastAsia"/>
          <w:sz w:val="24"/>
          <w:szCs w:val="24"/>
        </w:rPr>
        <w:t>≤</w:t>
      </w:r>
      <w:r>
        <w:rPr>
          <w:rFonts w:asciiTheme="minorEastAsia" w:hAnsiTheme="minorEastAsia" w:eastAsiaTheme="minorEastAsia"/>
          <w:sz w:val="24"/>
          <w:szCs w:val="24"/>
        </w:rPr>
        <w:t>750</w:t>
      </w:r>
      <w:r>
        <w:rPr>
          <w:rFonts w:hint="eastAsia" w:asciiTheme="minorEastAsia" w:hAnsiTheme="minorEastAsia" w:eastAsiaTheme="minorEastAsia"/>
          <w:sz w:val="24"/>
          <w:szCs w:val="24"/>
        </w:rPr>
        <w:t>；苯</w:t>
      </w:r>
      <w:r>
        <w:rPr>
          <w:rFonts w:asciiTheme="minorEastAsia" w:hAnsiTheme="minorEastAsia" w:eastAsiaTheme="minorEastAsia"/>
          <w:sz w:val="24"/>
          <w:szCs w:val="24"/>
        </w:rPr>
        <w:t>(g/kg)</w:t>
      </w: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p>
    <w:p w14:paraId="2FA1C84D">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④</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石膏板及其它无机非金属材料：内照射指数≤</w:t>
      </w:r>
      <w:r>
        <w:rPr>
          <w:rFonts w:asciiTheme="minorEastAsia" w:hAnsiTheme="minorEastAsia" w:eastAsiaTheme="minorEastAsia"/>
          <w:sz w:val="24"/>
          <w:szCs w:val="24"/>
        </w:rPr>
        <w:t>1.0</w:t>
      </w:r>
      <w:r>
        <w:rPr>
          <w:rFonts w:hint="eastAsia" w:asciiTheme="minorEastAsia" w:hAnsiTheme="minorEastAsia" w:eastAsiaTheme="minorEastAsia"/>
          <w:sz w:val="24"/>
          <w:szCs w:val="24"/>
        </w:rPr>
        <w:t>；外照射指数≤</w:t>
      </w:r>
      <w:r>
        <w:rPr>
          <w:rFonts w:asciiTheme="minorEastAsia" w:hAnsiTheme="minorEastAsia" w:eastAsiaTheme="minorEastAsia"/>
          <w:sz w:val="24"/>
          <w:szCs w:val="24"/>
        </w:rPr>
        <w:t>1.0</w:t>
      </w:r>
      <w:r>
        <w:rPr>
          <w:rFonts w:hint="eastAsia" w:asciiTheme="minorEastAsia" w:hAnsiTheme="minorEastAsia" w:eastAsiaTheme="minorEastAsia"/>
          <w:sz w:val="24"/>
          <w:szCs w:val="24"/>
        </w:rPr>
        <w:t>。</w:t>
      </w:r>
    </w:p>
    <w:p w14:paraId="289511FF">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10</w:t>
      </w:r>
      <w:r>
        <w:rPr>
          <w:rFonts w:hint="eastAsia" w:asciiTheme="minorEastAsia" w:hAnsiTheme="minorEastAsia" w:eastAsiaTheme="minorEastAsia"/>
          <w:sz w:val="24"/>
          <w:szCs w:val="24"/>
        </w:rPr>
        <w:t>）其他相关材料的污染控制指标符合《民用建筑工程室内环境污染控制标准》</w:t>
      </w:r>
      <w:r>
        <w:rPr>
          <w:rFonts w:asciiTheme="minorEastAsia" w:hAnsiTheme="minorEastAsia" w:eastAsiaTheme="minorEastAsia"/>
          <w:sz w:val="24"/>
          <w:szCs w:val="24"/>
        </w:rPr>
        <w:t>GB50325-2020</w:t>
      </w:r>
      <w:r>
        <w:rPr>
          <w:rFonts w:hint="eastAsia" w:asciiTheme="minorEastAsia" w:hAnsiTheme="minorEastAsia" w:eastAsiaTheme="minorEastAsia"/>
          <w:sz w:val="24"/>
          <w:szCs w:val="24"/>
        </w:rPr>
        <w:t>。</w:t>
      </w:r>
    </w:p>
    <w:p w14:paraId="6068EAB5">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）装饰涂料</w:t>
      </w:r>
      <w:r>
        <w:rPr>
          <w:rFonts w:asciiTheme="minorEastAsia" w:hAnsiTheme="minorEastAsia" w:eastAsiaTheme="minorEastAsia"/>
          <w:sz w:val="24"/>
          <w:szCs w:val="24"/>
        </w:rPr>
        <w:t>:</w:t>
      </w:r>
    </w:p>
    <w:p w14:paraId="34865FB9">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建筑的装饰抹灰作业，装饰抹灰及饰面工程一般包括：内墙涂料、贴面砖等。装饰抹灰作业及饰面工程的施工应按照国家标准规范有关规定执行。</w:t>
      </w:r>
    </w:p>
    <w:p w14:paraId="546CA2AA">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装饰抹灰和饰面工程实施前，承包人应递交样品和施工说明。</w:t>
      </w:r>
    </w:p>
    <w:p w14:paraId="14FCA48D">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饰面材料应以制造厂家的原包装运送，并应标有制造厂的名称及商标，装贴面砖的包装件应分级密封，装卸中应防止不同材料、不同批次混杂，要防水、防潮、防污染、防破碎。材料应存放在干燥通风的地方。粘合剂应按厂家要求存放，防止受潮或温度影响而变质，严禁使用超过有效期的材料。</w:t>
      </w:r>
    </w:p>
    <w:p w14:paraId="75AEEEF0">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④</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乳胶漆：适用所有建筑；表面光照亚光，对比率</w:t>
      </w:r>
      <w:r>
        <w:rPr>
          <w:rFonts w:asciiTheme="minorEastAsia" w:hAnsiTheme="minorEastAsia" w:eastAsiaTheme="minorEastAsia"/>
          <w:sz w:val="24"/>
          <w:szCs w:val="24"/>
        </w:rPr>
        <w:t>0.97</w:t>
      </w:r>
      <w:r>
        <w:rPr>
          <w:rFonts w:hint="eastAsia" w:asciiTheme="minorEastAsia" w:hAnsiTheme="minorEastAsia" w:eastAsiaTheme="minorEastAsia"/>
          <w:sz w:val="24"/>
          <w:szCs w:val="24"/>
        </w:rPr>
        <w:t>，耐碱性</w:t>
      </w:r>
      <w:r>
        <w:rPr>
          <w:rFonts w:asciiTheme="minorEastAsia" w:hAnsiTheme="minorEastAsia" w:eastAsiaTheme="minorEastAsia"/>
          <w:sz w:val="24"/>
          <w:szCs w:val="24"/>
        </w:rPr>
        <w:t>48h</w:t>
      </w:r>
      <w:r>
        <w:rPr>
          <w:rFonts w:hint="eastAsia" w:asciiTheme="minorEastAsia" w:hAnsiTheme="minorEastAsia" w:eastAsiaTheme="minorEastAsia"/>
          <w:sz w:val="24"/>
          <w:szCs w:val="24"/>
        </w:rPr>
        <w:t>无异常，耐水性</w:t>
      </w:r>
      <w:r>
        <w:rPr>
          <w:rFonts w:asciiTheme="minorEastAsia" w:hAnsiTheme="minorEastAsia" w:eastAsiaTheme="minorEastAsia"/>
          <w:sz w:val="24"/>
          <w:szCs w:val="24"/>
        </w:rPr>
        <w:t>96h</w:t>
      </w:r>
      <w:r>
        <w:rPr>
          <w:rFonts w:hint="eastAsia" w:asciiTheme="minorEastAsia" w:hAnsiTheme="minorEastAsia" w:eastAsiaTheme="minorEastAsia"/>
          <w:sz w:val="24"/>
          <w:szCs w:val="24"/>
        </w:rPr>
        <w:t>无异常，使用年限</w:t>
      </w:r>
      <w:r>
        <w:rPr>
          <w:rFonts w:asciiTheme="minorEastAsia" w:hAnsiTheme="minorEastAsia" w:eastAsiaTheme="minorEastAsia"/>
          <w:sz w:val="24"/>
          <w:szCs w:val="24"/>
        </w:rPr>
        <w:t>10</w:t>
      </w:r>
      <w:r>
        <w:rPr>
          <w:rFonts w:hint="eastAsia" w:asciiTheme="minorEastAsia" w:hAnsiTheme="minorEastAsia" w:eastAsiaTheme="minorEastAsia"/>
          <w:sz w:val="24"/>
          <w:szCs w:val="24"/>
        </w:rPr>
        <w:t>年以上，游离甲醛（</w:t>
      </w:r>
      <w:r>
        <w:rPr>
          <w:rFonts w:asciiTheme="minorEastAsia" w:hAnsiTheme="minorEastAsia" w:eastAsiaTheme="minorEastAsia"/>
          <w:sz w:val="24"/>
          <w:szCs w:val="24"/>
        </w:rPr>
        <w:t>mg/kg</w:t>
      </w:r>
      <w:r>
        <w:rPr>
          <w:rFonts w:hint="eastAsia" w:asciiTheme="minorEastAsia" w:hAnsiTheme="minorEastAsia" w:eastAsiaTheme="minorEastAsia"/>
          <w:sz w:val="24"/>
          <w:szCs w:val="24"/>
        </w:rPr>
        <w:t>）≤</w:t>
      </w:r>
      <w:r>
        <w:rPr>
          <w:rFonts w:asciiTheme="minorEastAsia" w:hAnsiTheme="minorEastAsia" w:eastAsiaTheme="minorEastAsia"/>
          <w:sz w:val="24"/>
          <w:szCs w:val="24"/>
        </w:rPr>
        <w:t>100</w:t>
      </w:r>
      <w:r>
        <w:rPr>
          <w:rFonts w:hint="eastAsia" w:asciiTheme="minorEastAsia" w:hAnsiTheme="minorEastAsia" w:eastAsiaTheme="minorEastAsia"/>
          <w:sz w:val="24"/>
          <w:szCs w:val="24"/>
        </w:rPr>
        <w:t>。</w:t>
      </w:r>
    </w:p>
    <w:p w14:paraId="0BC68956">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⑤</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内外墙饰面的涂料、面砖质量应符合规定要求，颜色要符合施工图规定或监理人通知要求。对乳胶漆应检查贮存期，无凝聚或结块现象才可使用。对基层要求：表层应坚实、光滑并应清除浮灰和松散颗粒，墙面含水率控制在</w:t>
      </w:r>
      <w:r>
        <w:rPr>
          <w:rFonts w:asciiTheme="minorEastAsia" w:hAnsiTheme="minorEastAsia" w:eastAsiaTheme="minorEastAsia"/>
          <w:sz w:val="24"/>
          <w:szCs w:val="24"/>
        </w:rPr>
        <w:t>10%</w:t>
      </w:r>
      <w:r>
        <w:rPr>
          <w:rFonts w:hint="eastAsia" w:asciiTheme="minorEastAsia" w:hAnsiTheme="minorEastAsia" w:eastAsiaTheme="minorEastAsia"/>
          <w:sz w:val="24"/>
          <w:szCs w:val="24"/>
        </w:rPr>
        <w:t>以下方可涂刷。</w:t>
      </w:r>
    </w:p>
    <w:p w14:paraId="1C5B9FB9">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对喷涂（水性无机高分子涂料）凹凸不平的墙面要求喷涂平整，花点均匀，对基层要求、墙面平整，没有突起物及任何附着物，裂痕和破损，底层砂浆标号大于</w:t>
      </w:r>
      <w:r>
        <w:rPr>
          <w:rFonts w:asciiTheme="minorEastAsia" w:hAnsiTheme="minorEastAsia" w:eastAsiaTheme="minorEastAsia"/>
          <w:sz w:val="24"/>
          <w:szCs w:val="24"/>
        </w:rPr>
        <w:t>M5</w:t>
      </w:r>
      <w:r>
        <w:rPr>
          <w:rFonts w:hint="eastAsia" w:asciiTheme="minorEastAsia" w:hAnsiTheme="minorEastAsia" w:eastAsiaTheme="minorEastAsia"/>
          <w:sz w:val="24"/>
          <w:szCs w:val="24"/>
        </w:rPr>
        <w:t>，墙面含水率小于</w:t>
      </w:r>
      <w:r>
        <w:rPr>
          <w:rFonts w:asciiTheme="minorEastAsia" w:hAnsiTheme="minorEastAsia" w:eastAsiaTheme="minorEastAsia"/>
          <w:sz w:val="24"/>
          <w:szCs w:val="24"/>
        </w:rPr>
        <w:t>10%</w:t>
      </w:r>
      <w:r>
        <w:rPr>
          <w:rFonts w:hint="eastAsia" w:asciiTheme="minorEastAsia" w:hAnsiTheme="minorEastAsia" w:eastAsiaTheme="minorEastAsia"/>
          <w:sz w:val="24"/>
          <w:szCs w:val="24"/>
        </w:rPr>
        <w:t>，喷涂后</w:t>
      </w:r>
      <w:r>
        <w:rPr>
          <w:rFonts w:asciiTheme="minorEastAsia" w:hAnsiTheme="minorEastAsia" w:eastAsiaTheme="minorEastAsia"/>
          <w:sz w:val="24"/>
          <w:szCs w:val="24"/>
        </w:rPr>
        <w:t>12h</w:t>
      </w:r>
      <w:r>
        <w:rPr>
          <w:rFonts w:hint="eastAsia" w:asciiTheme="minorEastAsia" w:hAnsiTheme="minorEastAsia" w:eastAsiaTheme="minorEastAsia"/>
          <w:sz w:val="24"/>
          <w:szCs w:val="24"/>
        </w:rPr>
        <w:t>内应作防水遮挡。</w:t>
      </w:r>
    </w:p>
    <w:p w14:paraId="51BE7B6C">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2.1抹灰作业</w:t>
      </w:r>
    </w:p>
    <w:p w14:paraId="18ABBC92">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）抹灰作业应按照《建筑装饰装修工程质量验收标准》</w:t>
      </w:r>
      <w:r>
        <w:rPr>
          <w:rFonts w:asciiTheme="minorEastAsia" w:hAnsiTheme="minorEastAsia" w:eastAsiaTheme="minorEastAsia"/>
          <w:sz w:val="24"/>
          <w:szCs w:val="24"/>
        </w:rPr>
        <w:t>GB50210-2018</w:t>
      </w:r>
      <w:r>
        <w:rPr>
          <w:rFonts w:hint="eastAsia" w:asciiTheme="minorEastAsia" w:hAnsiTheme="minorEastAsia" w:eastAsiaTheme="minorEastAsia"/>
          <w:sz w:val="24"/>
          <w:szCs w:val="24"/>
        </w:rPr>
        <w:t>有关规定执行。承包人应递交抹灰样品送请监理人鉴定和确认，并须经监理人认可后方可施工。</w:t>
      </w:r>
    </w:p>
    <w:p w14:paraId="2F3DF438">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）一般墙面抹灰用</w:t>
      </w:r>
      <w:r>
        <w:rPr>
          <w:rFonts w:asciiTheme="minorEastAsia" w:hAnsiTheme="minorEastAsia" w:eastAsiaTheme="minorEastAsia"/>
          <w:sz w:val="24"/>
          <w:szCs w:val="24"/>
        </w:rPr>
        <w:t>1:2.5</w:t>
      </w:r>
      <w:r>
        <w:rPr>
          <w:rFonts w:hint="eastAsia" w:asciiTheme="minorEastAsia" w:hAnsiTheme="minorEastAsia" w:eastAsiaTheme="minorEastAsia"/>
          <w:sz w:val="24"/>
          <w:szCs w:val="24"/>
        </w:rPr>
        <w:t>（水泥：砂）水泥砂浆，所有内墙，平顶抹灰用</w:t>
      </w:r>
      <w:r>
        <w:rPr>
          <w:rFonts w:asciiTheme="minorEastAsia" w:hAnsiTheme="minorEastAsia" w:eastAsiaTheme="minorEastAsia"/>
          <w:sz w:val="24"/>
          <w:szCs w:val="24"/>
        </w:rPr>
        <w:t>1:1:4.5</w:t>
      </w:r>
      <w:r>
        <w:rPr>
          <w:rFonts w:hint="eastAsia" w:asciiTheme="minorEastAsia" w:hAnsiTheme="minorEastAsia" w:eastAsiaTheme="minorEastAsia"/>
          <w:sz w:val="24"/>
          <w:szCs w:val="24"/>
        </w:rPr>
        <w:t>（水泥</w:t>
      </w:r>
      <w:r>
        <w:rPr>
          <w:rFonts w:asciiTheme="minorEastAsia" w:hAnsiTheme="minorEastAsia" w:eastAsiaTheme="minorEastAsia"/>
          <w:sz w:val="24"/>
          <w:szCs w:val="24"/>
        </w:rPr>
        <w:t>:</w:t>
      </w:r>
      <w:r>
        <w:rPr>
          <w:rFonts w:hint="eastAsia" w:asciiTheme="minorEastAsia" w:hAnsiTheme="minorEastAsia" w:eastAsiaTheme="minorEastAsia"/>
          <w:sz w:val="24"/>
          <w:szCs w:val="24"/>
        </w:rPr>
        <w:t>石灰</w:t>
      </w:r>
      <w:r>
        <w:rPr>
          <w:rFonts w:asciiTheme="minorEastAsia" w:hAnsiTheme="minorEastAsia" w:eastAsiaTheme="minorEastAsia"/>
          <w:sz w:val="24"/>
          <w:szCs w:val="24"/>
        </w:rPr>
        <w:t>:</w:t>
      </w:r>
      <w:r>
        <w:rPr>
          <w:rFonts w:hint="eastAsia" w:asciiTheme="minorEastAsia" w:hAnsiTheme="minorEastAsia" w:eastAsiaTheme="minorEastAsia"/>
          <w:sz w:val="24"/>
          <w:szCs w:val="24"/>
        </w:rPr>
        <w:t>砂）混合砂浆，对于外墙门窗的外侧壁、屋檐勒脚，压檐墙等的抹灰，面层和底层均采用水泥砂浆或混合砂浆。若在施工图中或监理人已指明其它的配合比，则应按施工图或监理人的指示施工。</w:t>
      </w:r>
    </w:p>
    <w:p w14:paraId="3FA45371">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砖面、混凝土基层表面上污物均应清除干净、洒水湿润，并应检查基层表面的平整度，然后设置标志或标筋，其抹灰层厚度应符合抹灰等级且满足质量标准和操作工序要求，门窗框与墙的交接处应分层填嵌密实和牢固。室内墙面的阳角和门口侧壁的阳角处，一般用</w:t>
      </w:r>
      <w:r>
        <w:rPr>
          <w:rFonts w:asciiTheme="minorEastAsia" w:hAnsiTheme="minorEastAsia" w:eastAsiaTheme="minorEastAsia"/>
          <w:sz w:val="24"/>
          <w:szCs w:val="24"/>
        </w:rPr>
        <w:t>1:2.5</w:t>
      </w:r>
      <w:r>
        <w:rPr>
          <w:rFonts w:hint="eastAsia" w:asciiTheme="minorEastAsia" w:hAnsiTheme="minorEastAsia" w:eastAsiaTheme="minorEastAsia"/>
          <w:sz w:val="24"/>
          <w:szCs w:val="24"/>
        </w:rPr>
        <w:t>水泥砂浆抹出护角，护角高度不低于</w:t>
      </w:r>
      <w:r>
        <w:rPr>
          <w:rFonts w:asciiTheme="minorEastAsia" w:hAnsiTheme="minorEastAsia" w:eastAsiaTheme="minorEastAsia"/>
          <w:sz w:val="24"/>
          <w:szCs w:val="24"/>
        </w:rPr>
        <w:t>1.5m</w:t>
      </w:r>
      <w:r>
        <w:rPr>
          <w:rFonts w:hint="eastAsia" w:asciiTheme="minorEastAsia" w:hAnsiTheme="minorEastAsia" w:eastAsiaTheme="minorEastAsia"/>
          <w:sz w:val="24"/>
          <w:szCs w:val="24"/>
        </w:rPr>
        <w:t>。</w:t>
      </w:r>
    </w:p>
    <w:p w14:paraId="4A81EB18">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4）室内楼梯间楼梯踏步段均做滴水线槽。</w:t>
      </w:r>
    </w:p>
    <w:p w14:paraId="68B01CBA">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2.2板块面层</w:t>
      </w:r>
    </w:p>
    <w:p w14:paraId="6CC23AC3">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）板块面层是用防滑地砖、仿大理石、釉面地砖等预制板块铺设而成。其中：地砖（仿石地砖），厚度</w:t>
      </w:r>
      <w:r>
        <w:rPr>
          <w:rFonts w:asciiTheme="minorEastAsia" w:hAnsiTheme="minorEastAsia" w:eastAsiaTheme="minorEastAsia"/>
          <w:sz w:val="24"/>
          <w:szCs w:val="24"/>
        </w:rPr>
        <w:t>10</w:t>
      </w:r>
      <w:r>
        <w:rPr>
          <w:rFonts w:hint="eastAsia" w:asciiTheme="minorEastAsia" w:hAnsiTheme="minorEastAsia" w:eastAsiaTheme="minorEastAsia"/>
          <w:sz w:val="24"/>
          <w:szCs w:val="24"/>
        </w:rPr>
        <w:t>～</w:t>
      </w:r>
      <w:r>
        <w:rPr>
          <w:rFonts w:asciiTheme="minorEastAsia" w:hAnsiTheme="minorEastAsia" w:eastAsiaTheme="minorEastAsia"/>
          <w:sz w:val="24"/>
          <w:szCs w:val="24"/>
        </w:rPr>
        <w:t>18mm</w:t>
      </w:r>
      <w:r>
        <w:rPr>
          <w:rFonts w:hint="eastAsia" w:asciiTheme="minorEastAsia" w:hAnsiTheme="minorEastAsia" w:eastAsiaTheme="minorEastAsia"/>
          <w:sz w:val="24"/>
          <w:szCs w:val="24"/>
        </w:rPr>
        <w:t>，光泽度大于</w:t>
      </w:r>
      <w:r>
        <w:rPr>
          <w:rFonts w:asciiTheme="minorEastAsia" w:hAnsiTheme="minorEastAsia" w:eastAsiaTheme="minorEastAsia"/>
          <w:sz w:val="24"/>
          <w:szCs w:val="24"/>
        </w:rPr>
        <w:t>95</w:t>
      </w:r>
      <w:r>
        <w:rPr>
          <w:rFonts w:hint="eastAsia" w:asciiTheme="minorEastAsia" w:hAnsiTheme="minorEastAsia" w:eastAsiaTheme="minorEastAsia"/>
          <w:sz w:val="24"/>
          <w:szCs w:val="24"/>
        </w:rPr>
        <w:t>，晶玉层莫氏硬度为</w:t>
      </w:r>
      <w:r>
        <w:rPr>
          <w:rFonts w:asciiTheme="minorEastAsia" w:hAnsiTheme="minorEastAsia" w:eastAsiaTheme="minorEastAsia"/>
          <w:sz w:val="24"/>
          <w:szCs w:val="24"/>
        </w:rPr>
        <w:t>6</w:t>
      </w:r>
      <w:r>
        <w:rPr>
          <w:rFonts w:hint="eastAsia" w:asciiTheme="minorEastAsia" w:hAnsiTheme="minorEastAsia" w:eastAsiaTheme="minorEastAsia"/>
          <w:sz w:val="24"/>
          <w:szCs w:val="24"/>
        </w:rPr>
        <w:t>级。弯曲强度大于</w:t>
      </w:r>
      <w:r>
        <w:rPr>
          <w:rFonts w:asciiTheme="minorEastAsia" w:hAnsiTheme="minorEastAsia" w:eastAsiaTheme="minorEastAsia"/>
          <w:sz w:val="24"/>
          <w:szCs w:val="24"/>
        </w:rPr>
        <w:t>51MPa</w:t>
      </w:r>
      <w:r>
        <w:rPr>
          <w:rFonts w:hint="eastAsia" w:asciiTheme="minorEastAsia" w:hAnsiTheme="minorEastAsia" w:eastAsiaTheme="minorEastAsia"/>
          <w:sz w:val="24"/>
          <w:szCs w:val="24"/>
        </w:rPr>
        <w:t>。</w:t>
      </w:r>
    </w:p>
    <w:p w14:paraId="7CA24FA3">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）板块应按照颜色和花纹分类，有裂缝、掉角和表面上有缺陷的板块，应予剔出，标号和品种不同、批次不同的板块不得混杂使用。</w:t>
      </w:r>
    </w:p>
    <w:p w14:paraId="502EA938">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铺在水泥砂浆结合层上的板块材料，在铺设前应用水浸湿，其表面无明水方可铺设。面层板块间的缝隙宽度符合下列规定。板块的铺砌应在砂浆凝结前或沥清玛蹄脂硬化前完成。铺砌时，要求板块平整，镶嵌正确。施工间歇后继续铺砌前，应将已铺砌的板块下挤出的结合层材料予以清除。在水泥砂浆结合层上铺砌的板块面层，宜在铺砌后</w:t>
      </w: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昼夜，以稀水泥浆或</w:t>
      </w:r>
      <w:r>
        <w:rPr>
          <w:rFonts w:asciiTheme="minorEastAsia" w:hAnsiTheme="minorEastAsia" w:eastAsiaTheme="minorEastAsia"/>
          <w:sz w:val="24"/>
          <w:szCs w:val="24"/>
        </w:rPr>
        <w:t>1:1</w:t>
      </w:r>
      <w:r>
        <w:rPr>
          <w:rFonts w:hint="eastAsia" w:asciiTheme="minorEastAsia" w:hAnsiTheme="minorEastAsia" w:eastAsiaTheme="minorEastAsia"/>
          <w:sz w:val="24"/>
          <w:szCs w:val="24"/>
        </w:rPr>
        <w:t>稀水泥砂浆（水泥：细砂）填缝。面层上溢出的水泥浆或水泥砂浆应在凝结前予以清除，待缝隙内的水泥凝结后，再将表面清洗干净。</w:t>
      </w:r>
    </w:p>
    <w:p w14:paraId="1376C73A">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2.3木制件</w:t>
      </w:r>
    </w:p>
    <w:p w14:paraId="127475AD">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室内木制件的材料制作，装配及安装工程施工实施，其木工件的施工必须遵照国家标准《木结构工程施工质量验收规范》（</w:t>
      </w:r>
      <w:r>
        <w:rPr>
          <w:rFonts w:asciiTheme="minorEastAsia" w:hAnsiTheme="minorEastAsia" w:eastAsiaTheme="minorEastAsia"/>
          <w:sz w:val="24"/>
          <w:szCs w:val="24"/>
        </w:rPr>
        <w:t>GB50206-2012</w:t>
      </w:r>
      <w:r>
        <w:rPr>
          <w:rFonts w:hint="eastAsia" w:asciiTheme="minorEastAsia" w:hAnsiTheme="minorEastAsia" w:eastAsiaTheme="minorEastAsia"/>
          <w:sz w:val="24"/>
          <w:szCs w:val="24"/>
        </w:rPr>
        <w:t>）规范中的有关规定执行。</w:t>
      </w:r>
    </w:p>
    <w:p w14:paraId="66407131">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2.4油漆</w:t>
      </w:r>
    </w:p>
    <w:p w14:paraId="3BB6303F">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）油漆作业实施应按照国家标准（</w:t>
      </w:r>
      <w:r>
        <w:rPr>
          <w:rFonts w:asciiTheme="minorEastAsia" w:hAnsiTheme="minorEastAsia" w:eastAsiaTheme="minorEastAsia"/>
          <w:sz w:val="24"/>
          <w:szCs w:val="24"/>
        </w:rPr>
        <w:t>GB50210-2018</w:t>
      </w:r>
      <w:r>
        <w:rPr>
          <w:rFonts w:hint="eastAsia" w:asciiTheme="minorEastAsia" w:hAnsiTheme="minorEastAsia" w:eastAsiaTheme="minorEastAsia"/>
          <w:sz w:val="24"/>
          <w:szCs w:val="24"/>
        </w:rPr>
        <w:t>）的有关规定执行，凡图纸和监理人规定有油漆要求的金属预埋件的油漆作业，亦可参照本节规定执行。</w:t>
      </w:r>
    </w:p>
    <w:p w14:paraId="5856D44C">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承包人应根据施工图规定的油漆品种、颜色进货。油漆出厂应有合格证并标明其成分、颜色、品种、用途和出厂日期及批号，并须按原包装的密闭容器运至工地仓库。进货油漆不得任意开封和混合。如变更生产厂家或牌号，则应征得监理人的同意。</w:t>
      </w:r>
    </w:p>
    <w:p w14:paraId="56AC1230">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）油漆作业的气候条件和环境湿度应满足该品种油漆规定的要求，在强烈日光直射下或潮湿环境里不得进行油漆作业。涂刷完工后，应避免剧烈温度变化损坏油漆表面。</w:t>
      </w:r>
    </w:p>
    <w:p w14:paraId="4D3595FE">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）油漆前，基层须干透，木制件的含水率应符合国家标准有关规定。涂刷油漆前，木料表面的裂缝、缺陷和脂囊应予清除、铲除，并用腻子填补，金属件表面应清除油渍、锈斑、焊渣、毛刺等。</w:t>
      </w:r>
    </w:p>
    <w:p w14:paraId="205B7382">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）油漆稠度须严格按厂家规定进行稀释，涂刷应不流淌，不显刷痕。涂刷油漆须均匀、光滑、不起泡、不起皱等。</w:t>
      </w:r>
    </w:p>
    <w:p w14:paraId="3B2CD552">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）所有金属件在涂刷面漆前须涂防锈底漆。木制件及金属件油漆的详细工序规定应分别遵照国家规范的有关规定实施。</w:t>
      </w:r>
    </w:p>
    <w:p w14:paraId="399A5B5F">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2.5装饰金属件及其他</w:t>
      </w:r>
    </w:p>
    <w:p w14:paraId="6F79B117">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）装饰金属件的施工实施必须遵照国家现行质量标准中的有关规定执行。</w:t>
      </w:r>
    </w:p>
    <w:p w14:paraId="28ED1B91">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在所有装饰金属件施工实施之前，承包人应递交两种以上材料或成品规格、品种、油漆颜色的样品，报送监理人鉴定确认；承包人还应向监理人递交表示所有施工细节的加工图，加工图应详细地表示出所有的施工内容，包括各种构件的厚度、截面、接头和装配的实际尺寸，以及有关加固、焊接、弯曲、支撑等详细说明，未经监理人同意，不得进行施工。</w:t>
      </w:r>
    </w:p>
    <w:p w14:paraId="3957D2D8">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对提供的所有钢材应符合国家现行规范规定和施工图要求，并附有出厂证明书，金属件所用焊接材料、连接材料和油漆涂底材料的型号、牌号和质量均应符合施工图与国家现行标准要求，焊接作业及其质量要求应符合相关的国家现行标准的有关规定。</w:t>
      </w:r>
    </w:p>
    <w:p w14:paraId="07B8FDB8">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）金属栏杆、金属灯柱、吊平顶、铁爬梯等应按施工图的规定进行制作、安装和施工，并满足相关行业规定。</w:t>
      </w:r>
    </w:p>
    <w:p w14:paraId="4CC9AADC">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）所有单元式宿舍橱柜技术要求：柜体环保级别</w:t>
      </w:r>
      <w:r>
        <w:rPr>
          <w:rFonts w:asciiTheme="minorEastAsia" w:hAnsiTheme="minorEastAsia" w:eastAsiaTheme="minorEastAsia"/>
          <w:sz w:val="24"/>
          <w:szCs w:val="24"/>
        </w:rPr>
        <w:t>E1</w:t>
      </w:r>
      <w:r>
        <w:rPr>
          <w:rFonts w:hint="eastAsia" w:asciiTheme="minorEastAsia" w:hAnsiTheme="minorEastAsia" w:eastAsiaTheme="minorEastAsia"/>
          <w:sz w:val="24"/>
          <w:szCs w:val="24"/>
        </w:rPr>
        <w:t>级，台板厚度</w:t>
      </w:r>
      <w:r>
        <w:rPr>
          <w:rFonts w:asciiTheme="minorEastAsia" w:hAnsiTheme="minorEastAsia" w:eastAsiaTheme="minorEastAsia"/>
          <w:sz w:val="24"/>
          <w:szCs w:val="24"/>
        </w:rPr>
        <w:t>20</w:t>
      </w:r>
      <w:r>
        <w:rPr>
          <w:rFonts w:hint="eastAsia" w:asciiTheme="minorEastAsia" w:hAnsiTheme="minorEastAsia" w:eastAsiaTheme="minorEastAsia"/>
          <w:sz w:val="24"/>
          <w:szCs w:val="24"/>
        </w:rPr>
        <w:t>，台面材质大理石，门板烤漆耐火板，背板同色饰面板，地脚铝塑平面踢脚板；衬板为</w:t>
      </w:r>
      <w:r>
        <w:rPr>
          <w:rFonts w:asciiTheme="minorEastAsia" w:hAnsiTheme="minorEastAsia" w:eastAsiaTheme="minorEastAsia"/>
          <w:sz w:val="24"/>
          <w:szCs w:val="24"/>
        </w:rPr>
        <w:t>16</w:t>
      </w:r>
      <w:r>
        <w:rPr>
          <w:rFonts w:hint="eastAsia" w:asciiTheme="minorEastAsia" w:hAnsiTheme="minorEastAsia" w:eastAsiaTheme="minorEastAsia"/>
          <w:sz w:val="24"/>
          <w:szCs w:val="24"/>
        </w:rPr>
        <w:t>厚实木颗粒板或多层板。</w:t>
      </w:r>
    </w:p>
    <w:p w14:paraId="42A5C404">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2.6地面工程</w:t>
      </w:r>
    </w:p>
    <w:p w14:paraId="530D613F">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）承包人应按施工图规定进行地面各垫层和面层的施工，并严格遵照本章所列的施工规范规程。</w:t>
      </w:r>
    </w:p>
    <w:p w14:paraId="1F5CB3A7">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）地面和楼面坡度、厚度、标高和平整度等应符合施工图纸要求，厚度偏差不得大于设计厚度的</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p>
    <w:p w14:paraId="32BE09E0">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）地面的强度和密实度应符合施工图纸要求。</w:t>
      </w:r>
    </w:p>
    <w:p w14:paraId="52A4C624">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）隐蔽部位的验收。在地面工程填筑和施工过程中，承包人应会同监理人对基层各层和面层的施工质量，按有关规范规定的质量标准逐层进行验收，监理人检查合格并在验收记录上签字后才能进行后序施工。</w:t>
      </w:r>
    </w:p>
    <w:p w14:paraId="4525D277">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）地面工程全部完工后，承包人应按监理人的要求，提交完工资料。</w:t>
      </w:r>
    </w:p>
    <w:p w14:paraId="764EB32A">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）楼地面主要花岗岩石材、防滑地砖，面层材料应选用优质产品。与基层粘结牢固，不得有空鼓，套割吻合，表面整洁，颜色均匀，嵌缝严密，深浅一致。</w:t>
      </w:r>
    </w:p>
    <w:p w14:paraId="74C99353">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）防滑地砖面层</w:t>
      </w:r>
    </w:p>
    <w:p w14:paraId="2BC13D9E">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材料的检验</w:t>
      </w:r>
    </w:p>
    <w:p w14:paraId="43F2EEEC">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）釉面砖的品种、规格、颜色和性能应符合设计要求。</w:t>
      </w:r>
    </w:p>
    <w:p w14:paraId="548A59C7">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）深浅一致，面层无磨痕。</w:t>
      </w:r>
    </w:p>
    <w:p w14:paraId="166800A3">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）边角整齐、光滑。</w:t>
      </w:r>
    </w:p>
    <w:p w14:paraId="668CC2B9">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）无裂纹、掉角、翘曲和缺棱等缺陷。</w:t>
      </w:r>
    </w:p>
    <w:p w14:paraId="02065529">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e</w:t>
      </w:r>
      <w:r>
        <w:rPr>
          <w:rFonts w:hint="eastAsia" w:asciiTheme="minorEastAsia" w:hAnsiTheme="minorEastAsia" w:eastAsiaTheme="minorEastAsia"/>
          <w:sz w:val="24"/>
          <w:szCs w:val="24"/>
        </w:rPr>
        <w:t>）室内每个检验批应至少抽查</w:t>
      </w:r>
      <w:r>
        <w:rPr>
          <w:rFonts w:asciiTheme="minorEastAsia" w:hAnsiTheme="minorEastAsia" w:eastAsiaTheme="minorEastAsia"/>
          <w:sz w:val="24"/>
          <w:szCs w:val="24"/>
        </w:rPr>
        <w:t>10</w:t>
      </w:r>
      <w:r>
        <w:rPr>
          <w:rFonts w:hint="eastAsia" w:asciiTheme="minorEastAsia" w:hAnsiTheme="minorEastAsia" w:eastAsiaTheme="minorEastAsia"/>
          <w:sz w:val="24"/>
          <w:szCs w:val="24"/>
        </w:rPr>
        <w:t>％，并不得少于</w:t>
      </w:r>
      <w:r>
        <w:rPr>
          <w:rFonts w:asciiTheme="minorEastAsia" w:hAnsiTheme="minorEastAsia" w:eastAsiaTheme="minorEastAsia"/>
          <w:sz w:val="24"/>
          <w:szCs w:val="24"/>
        </w:rPr>
        <w:t>3</w:t>
      </w:r>
      <w:r>
        <w:rPr>
          <w:rFonts w:hint="eastAsia" w:asciiTheme="minorEastAsia" w:hAnsiTheme="minorEastAsia" w:eastAsiaTheme="minorEastAsia"/>
          <w:sz w:val="24"/>
          <w:szCs w:val="24"/>
        </w:rPr>
        <w:t>间；不足</w:t>
      </w:r>
      <w:r>
        <w:rPr>
          <w:rFonts w:asciiTheme="minorEastAsia" w:hAnsiTheme="minorEastAsia" w:eastAsiaTheme="minorEastAsia"/>
          <w:sz w:val="24"/>
          <w:szCs w:val="24"/>
        </w:rPr>
        <w:t>3</w:t>
      </w:r>
      <w:r>
        <w:rPr>
          <w:rFonts w:hint="eastAsia" w:asciiTheme="minorEastAsia" w:hAnsiTheme="minorEastAsia" w:eastAsiaTheme="minorEastAsia"/>
          <w:sz w:val="24"/>
          <w:szCs w:val="24"/>
        </w:rPr>
        <w:t>间时应全数检查。</w:t>
      </w:r>
    </w:p>
    <w:p w14:paraId="328F63FC">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地砖铺设要求</w:t>
      </w:r>
    </w:p>
    <w:p w14:paraId="7B4FE83D">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）地面</w:t>
      </w:r>
    </w:p>
    <w:p w14:paraId="5425EEA1">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基层清理：把杂物清理干净，并润湿，扫浆。</w:t>
      </w:r>
    </w:p>
    <w:p w14:paraId="5B6743ED">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水泥砂浆垫层：根据测定后的实际标高线浇捣</w:t>
      </w:r>
      <w:r>
        <w:rPr>
          <w:rFonts w:asciiTheme="minorEastAsia" w:hAnsiTheme="minorEastAsia" w:eastAsiaTheme="minorEastAsia"/>
          <w:sz w:val="24"/>
          <w:szCs w:val="24"/>
        </w:rPr>
        <w:t>20mm</w:t>
      </w:r>
      <w:r>
        <w:rPr>
          <w:rFonts w:hint="eastAsia" w:asciiTheme="minorEastAsia" w:hAnsiTheme="minorEastAsia" w:eastAsiaTheme="minorEastAsia"/>
          <w:sz w:val="24"/>
          <w:szCs w:val="24"/>
        </w:rPr>
        <w:t>厚的</w:t>
      </w: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2.5</w:t>
      </w:r>
      <w:r>
        <w:rPr>
          <w:rFonts w:hint="eastAsia" w:asciiTheme="minorEastAsia" w:hAnsiTheme="minorEastAsia" w:eastAsiaTheme="minorEastAsia"/>
          <w:sz w:val="24"/>
          <w:szCs w:val="24"/>
        </w:rPr>
        <w:t>。</w:t>
      </w:r>
    </w:p>
    <w:p w14:paraId="16A6087C">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水泥砂浆垫层，浇水养护，养护期为</w:t>
      </w:r>
      <w:r>
        <w:rPr>
          <w:rFonts w:asciiTheme="minorEastAsia" w:hAnsiTheme="minorEastAsia" w:eastAsiaTheme="minorEastAsia"/>
          <w:sz w:val="24"/>
          <w:szCs w:val="24"/>
        </w:rPr>
        <w:t>7d</w:t>
      </w:r>
      <w:r>
        <w:rPr>
          <w:rFonts w:hint="eastAsia" w:asciiTheme="minorEastAsia" w:hAnsiTheme="minorEastAsia" w:eastAsiaTheme="minorEastAsia"/>
          <w:sz w:val="24"/>
          <w:szCs w:val="24"/>
        </w:rPr>
        <w:t>。</w:t>
      </w:r>
    </w:p>
    <w:p w14:paraId="47E298D5">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铺设时水泥基层的抗压强度不得小于</w:t>
      </w:r>
      <w:r>
        <w:rPr>
          <w:rFonts w:asciiTheme="minorEastAsia" w:hAnsiTheme="minorEastAsia" w:eastAsiaTheme="minorEastAsia"/>
          <w:sz w:val="24"/>
          <w:szCs w:val="24"/>
        </w:rPr>
        <w:t>1.2Mpa</w:t>
      </w:r>
      <w:r>
        <w:rPr>
          <w:rFonts w:hint="eastAsia" w:asciiTheme="minorEastAsia" w:hAnsiTheme="minorEastAsia" w:eastAsiaTheme="minorEastAsia"/>
          <w:sz w:val="24"/>
          <w:szCs w:val="24"/>
        </w:rPr>
        <w:t>，表面应粗糙、洁净、湿润，不得有积水，铺设涂刷应涂刷界面处理剂。</w:t>
      </w:r>
    </w:p>
    <w:p w14:paraId="458B221D">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抗压强度达到</w:t>
      </w:r>
      <w:r>
        <w:rPr>
          <w:rFonts w:asciiTheme="minorEastAsia" w:hAnsiTheme="minorEastAsia" w:eastAsiaTheme="minorEastAsia"/>
          <w:sz w:val="24"/>
          <w:szCs w:val="24"/>
        </w:rPr>
        <w:t>5Mpa</w:t>
      </w:r>
      <w:r>
        <w:rPr>
          <w:rFonts w:hint="eastAsia" w:asciiTheme="minorEastAsia" w:hAnsiTheme="minorEastAsia" w:eastAsiaTheme="minorEastAsia"/>
          <w:sz w:val="24"/>
          <w:szCs w:val="24"/>
        </w:rPr>
        <w:t>后，方可允许人行走。</w:t>
      </w:r>
    </w:p>
    <w:p w14:paraId="14257781">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选板：将不合格的产品，撤离现场，以免混淆、错用。</w:t>
      </w:r>
    </w:p>
    <w:p w14:paraId="28892817">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试拼：在正式铺贴前进行试拼，并在墙面上弹出标高控制线。</w:t>
      </w:r>
    </w:p>
    <w:p w14:paraId="27C381C5">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放线、找规矩：根据设计要求和地砖的尺寸弹分格线，以便按图纸要求顺序分别铺贴，并在墙面上弹出标高控制线。</w:t>
      </w:r>
    </w:p>
    <w:p w14:paraId="56C6AA34">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铺贴：从里往外，依次铺贴，逐步退至外口。铺贴采用</w:t>
      </w:r>
      <w:r>
        <w:rPr>
          <w:rFonts w:asciiTheme="minorEastAsia" w:hAnsiTheme="minorEastAsia" w:eastAsiaTheme="minorEastAsia"/>
          <w:sz w:val="24"/>
          <w:szCs w:val="24"/>
        </w:rPr>
        <w:t>107</w:t>
      </w:r>
      <w:r>
        <w:rPr>
          <w:rFonts w:hint="eastAsia" w:asciiTheme="minorEastAsia" w:hAnsiTheme="minorEastAsia" w:eastAsiaTheme="minorEastAsia"/>
          <w:sz w:val="24"/>
          <w:szCs w:val="24"/>
        </w:rPr>
        <w:t>胶素水泥浆，随刮随铺，用橡皮锤在已铺贴的地砖上轻击，根据水平线用水平尺找平，铺完第一块后向二侧和后退方向顺序铺贴。铺贴平整度偏差不大于１</w:t>
      </w:r>
      <w:r>
        <w:rPr>
          <w:rFonts w:asciiTheme="minorEastAsia" w:hAnsiTheme="minorEastAsia" w:eastAsiaTheme="minorEastAsia"/>
          <w:sz w:val="24"/>
          <w:szCs w:val="24"/>
        </w:rPr>
        <w:t>mm</w:t>
      </w:r>
      <w:r>
        <w:rPr>
          <w:rFonts w:hint="eastAsia" w:asciiTheme="minorEastAsia" w:hAnsiTheme="minorEastAsia" w:eastAsiaTheme="minorEastAsia"/>
          <w:sz w:val="24"/>
          <w:szCs w:val="24"/>
        </w:rPr>
        <w:t>，同时在铺贴时随时检查贴缝笔直度，直线偏差度不大于</w:t>
      </w:r>
      <w:r>
        <w:rPr>
          <w:rFonts w:asciiTheme="minorEastAsia" w:hAnsiTheme="minorEastAsia" w:eastAsiaTheme="minorEastAsia"/>
          <w:sz w:val="24"/>
          <w:szCs w:val="24"/>
        </w:rPr>
        <w:t>1mm</w:t>
      </w:r>
      <w:r>
        <w:rPr>
          <w:rFonts w:hint="eastAsia" w:asciiTheme="minorEastAsia" w:hAnsiTheme="minorEastAsia" w:eastAsiaTheme="minorEastAsia"/>
          <w:sz w:val="24"/>
          <w:szCs w:val="24"/>
        </w:rPr>
        <w:t>。铺贴时还需注意砂浆的密实度，发现有空鼓者，彻底返贴。</w:t>
      </w:r>
    </w:p>
    <w:p w14:paraId="02B323CF">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贴缝处理：铺贴并检查完毕后对地砖贴缝进行处理，缝的宽度和嵌缝料符合设计要求，无要求时密缝铺缝宽不大于</w:t>
      </w:r>
      <w:r>
        <w:rPr>
          <w:rFonts w:asciiTheme="minorEastAsia" w:hAnsiTheme="minorEastAsia" w:eastAsiaTheme="minorEastAsia"/>
          <w:sz w:val="24"/>
          <w:szCs w:val="24"/>
        </w:rPr>
        <w:t>1mm</w:t>
      </w:r>
      <w:r>
        <w:rPr>
          <w:rFonts w:hint="eastAsia" w:asciiTheme="minorEastAsia" w:hAnsiTheme="minorEastAsia" w:eastAsiaTheme="minorEastAsia"/>
          <w:sz w:val="24"/>
          <w:szCs w:val="24"/>
        </w:rPr>
        <w:t>，宽缝缝宽不大于</w:t>
      </w:r>
      <w:r>
        <w:rPr>
          <w:rFonts w:asciiTheme="minorEastAsia" w:hAnsiTheme="minorEastAsia" w:eastAsiaTheme="minorEastAsia"/>
          <w:sz w:val="24"/>
          <w:szCs w:val="24"/>
        </w:rPr>
        <w:t>5-10mm</w:t>
      </w:r>
      <w:r>
        <w:rPr>
          <w:rFonts w:hint="eastAsia" w:asciiTheme="minorEastAsia" w:hAnsiTheme="minorEastAsia" w:eastAsiaTheme="minorEastAsia"/>
          <w:sz w:val="24"/>
          <w:szCs w:val="24"/>
        </w:rPr>
        <w:t>；嵌缝材料用白水泥。</w:t>
      </w:r>
    </w:p>
    <w:p w14:paraId="551D3C07">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在贴缝处理完毕后对贴缝进行养护，并对全部地面严加保护，在保护期间，严禁在上行走和堆物。</w:t>
      </w:r>
    </w:p>
    <w:p w14:paraId="3F7BCDAF">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面层与基层应结合牢固，不空鼓、无裂纹。</w:t>
      </w:r>
    </w:p>
    <w:p w14:paraId="06E6376A">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地面砖面层应洁净，深浅一致，面层无磨痕，接缝均匀平整，周边顺直。板块无裂纹、掉角、翘曲和缺棱等缺陷。</w:t>
      </w:r>
    </w:p>
    <w:p w14:paraId="3E285182">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地面的允许偏差：表面平整度允许偏差≤</w:t>
      </w:r>
      <w:r>
        <w:rPr>
          <w:rFonts w:asciiTheme="minorEastAsia" w:hAnsiTheme="minorEastAsia" w:eastAsiaTheme="minorEastAsia"/>
          <w:sz w:val="24"/>
          <w:szCs w:val="24"/>
        </w:rPr>
        <w:t>2</w:t>
      </w:r>
      <w:r>
        <w:rPr>
          <w:rFonts w:hint="eastAsia" w:asciiTheme="minorEastAsia" w:hAnsiTheme="minorEastAsia" w:eastAsiaTheme="minorEastAsia"/>
          <w:sz w:val="24"/>
          <w:szCs w:val="24"/>
        </w:rPr>
        <w:t>㎜；缝格平直允许偏差≤</w:t>
      </w:r>
      <w:r>
        <w:rPr>
          <w:rFonts w:asciiTheme="minorEastAsia" w:hAnsiTheme="minorEastAsia" w:eastAsiaTheme="minorEastAsia"/>
          <w:sz w:val="24"/>
          <w:szCs w:val="24"/>
        </w:rPr>
        <w:t>3</w:t>
      </w:r>
      <w:r>
        <w:rPr>
          <w:rFonts w:hint="eastAsia" w:asciiTheme="minorEastAsia" w:hAnsiTheme="minorEastAsia" w:eastAsiaTheme="minorEastAsia"/>
          <w:sz w:val="24"/>
          <w:szCs w:val="24"/>
        </w:rPr>
        <w:t>㎜；接缝高低差允许偏差≤</w:t>
      </w:r>
      <w:r>
        <w:rPr>
          <w:rFonts w:asciiTheme="minorEastAsia" w:hAnsiTheme="minorEastAsia" w:eastAsiaTheme="minorEastAsia"/>
          <w:sz w:val="24"/>
          <w:szCs w:val="24"/>
        </w:rPr>
        <w:t>0.5</w:t>
      </w:r>
      <w:r>
        <w:rPr>
          <w:rFonts w:hint="eastAsia" w:asciiTheme="minorEastAsia" w:hAnsiTheme="minorEastAsia" w:eastAsiaTheme="minorEastAsia"/>
          <w:sz w:val="24"/>
          <w:szCs w:val="24"/>
        </w:rPr>
        <w:t>㎜；板块间隙宽度允许偏差≤</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p w14:paraId="6386CD13">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）釉面砖、大理石踢脚</w:t>
      </w:r>
    </w:p>
    <w:p w14:paraId="3696DEC3">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踢脚表面应洁净，高度一致，结合牢固，出墙厚度一致。</w:t>
      </w:r>
    </w:p>
    <w:p w14:paraId="2A7785B5">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踢脚板上口平直允许偏差：≤</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p w14:paraId="032A655D">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）釉面地面砖外观质量和物理性能应符合下表相关规范的要求。</w:t>
      </w:r>
    </w:p>
    <w:p w14:paraId="718A6A79">
      <w:pPr>
        <w:adjustRightInd w:val="0"/>
        <w:snapToGrid w:val="0"/>
        <w:spacing w:line="440" w:lineRule="atLeast"/>
        <w:ind w:firstLine="482" w:firstLineChars="200"/>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釉面地面砖外观质量要求</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22"/>
        <w:gridCol w:w="3158"/>
      </w:tblGrid>
      <w:tr w14:paraId="16A29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722" w:type="dxa"/>
            <w:tcBorders>
              <w:top w:val="single" w:color="auto" w:sz="12" w:space="0"/>
              <w:left w:val="single" w:color="auto" w:sz="12" w:space="0"/>
              <w:bottom w:val="single" w:color="auto" w:sz="6" w:space="0"/>
              <w:right w:val="single" w:color="auto" w:sz="6" w:space="0"/>
            </w:tcBorders>
            <w:vAlign w:val="center"/>
          </w:tcPr>
          <w:p w14:paraId="3BC22273">
            <w:pPr>
              <w:tabs>
                <w:tab w:val="left" w:pos="5760"/>
              </w:tabs>
              <w:ind w:right="89" w:rightChars="37"/>
              <w:jc w:val="center"/>
              <w:rPr>
                <w:rFonts w:cs="宋体" w:asciiTheme="minorEastAsia" w:hAnsiTheme="minorEastAsia"/>
                <w:b/>
                <w:bCs/>
                <w:kern w:val="21"/>
                <w:sz w:val="24"/>
                <w:szCs w:val="24"/>
              </w:rPr>
            </w:pPr>
            <w:r>
              <w:rPr>
                <w:rFonts w:hint="eastAsia" w:cs="宋体" w:asciiTheme="minorEastAsia" w:hAnsiTheme="minorEastAsia"/>
                <w:b/>
                <w:bCs/>
                <w:kern w:val="21"/>
                <w:sz w:val="24"/>
                <w:szCs w:val="24"/>
              </w:rPr>
              <w:t>项目</w:t>
            </w:r>
          </w:p>
        </w:tc>
        <w:tc>
          <w:tcPr>
            <w:tcW w:w="3158" w:type="dxa"/>
            <w:tcBorders>
              <w:top w:val="single" w:color="auto" w:sz="12" w:space="0"/>
              <w:left w:val="single" w:color="auto" w:sz="6" w:space="0"/>
              <w:bottom w:val="single" w:color="auto" w:sz="6" w:space="0"/>
              <w:right w:val="single" w:color="auto" w:sz="12" w:space="0"/>
            </w:tcBorders>
            <w:vAlign w:val="center"/>
          </w:tcPr>
          <w:p w14:paraId="6D606EEB">
            <w:pPr>
              <w:jc w:val="center"/>
              <w:rPr>
                <w:rFonts w:cs="宋体" w:asciiTheme="minorEastAsia" w:hAnsiTheme="minorEastAsia"/>
                <w:b/>
                <w:bCs/>
                <w:kern w:val="21"/>
                <w:sz w:val="24"/>
                <w:szCs w:val="24"/>
              </w:rPr>
            </w:pPr>
            <w:r>
              <w:rPr>
                <w:rFonts w:hint="eastAsia" w:cs="宋体" w:asciiTheme="minorEastAsia" w:hAnsiTheme="minorEastAsia"/>
                <w:b/>
                <w:bCs/>
                <w:kern w:val="21"/>
                <w:sz w:val="24"/>
                <w:szCs w:val="24"/>
              </w:rPr>
              <w:t>质量要求</w:t>
            </w:r>
          </w:p>
        </w:tc>
      </w:tr>
      <w:tr w14:paraId="531E2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exact"/>
          <w:jc w:val="center"/>
        </w:trPr>
        <w:tc>
          <w:tcPr>
            <w:tcW w:w="5722" w:type="dxa"/>
            <w:tcBorders>
              <w:top w:val="single" w:color="auto" w:sz="6" w:space="0"/>
              <w:left w:val="single" w:color="auto" w:sz="12" w:space="0"/>
              <w:bottom w:val="single" w:color="auto" w:sz="6" w:space="0"/>
              <w:right w:val="single" w:color="auto" w:sz="6" w:space="0"/>
            </w:tcBorders>
            <w:vAlign w:val="center"/>
          </w:tcPr>
          <w:p w14:paraId="01068B04">
            <w:pPr>
              <w:jc w:val="center"/>
              <w:rPr>
                <w:rFonts w:cs="宋体" w:asciiTheme="minorEastAsia" w:hAnsiTheme="minorEastAsia"/>
                <w:kern w:val="21"/>
                <w:sz w:val="24"/>
                <w:szCs w:val="24"/>
              </w:rPr>
            </w:pPr>
            <w:r>
              <w:rPr>
                <w:rFonts w:hint="eastAsia" w:cs="宋体" w:asciiTheme="minorEastAsia" w:hAnsiTheme="minorEastAsia"/>
                <w:kern w:val="21"/>
                <w:sz w:val="24"/>
                <w:szCs w:val="24"/>
              </w:rPr>
              <w:t>缺釉、斑点、落脏、棕眼、</w:t>
            </w:r>
            <w:r>
              <w:rPr>
                <w:sz w:val="24"/>
                <w:szCs w:val="24"/>
              </w:rPr>
              <w:fldChar w:fldCharType="begin"/>
            </w:r>
            <w:r>
              <w:rPr>
                <w:sz w:val="24"/>
                <w:szCs w:val="24"/>
              </w:rPr>
              <w:instrText xml:space="preserve"> HYPERLINK "http://wenwen.soso.com/z/Search.e?sp=S%E6%BA%B6%E6%B4%9E&amp;ch=w.search.yjjlink&amp;cid=w.search.yjjlink" \t "_blank" </w:instrText>
            </w:r>
            <w:r>
              <w:rPr>
                <w:sz w:val="24"/>
                <w:szCs w:val="24"/>
              </w:rPr>
              <w:fldChar w:fldCharType="separate"/>
            </w:r>
            <w:r>
              <w:rPr>
                <w:rStyle w:val="19"/>
                <w:rFonts w:hint="eastAsia" w:cs="宋体" w:asciiTheme="minorEastAsia" w:hAnsiTheme="minorEastAsia"/>
                <w:color w:val="auto"/>
                <w:kern w:val="21"/>
                <w:sz w:val="24"/>
                <w:szCs w:val="24"/>
                <w:u w:val="none"/>
              </w:rPr>
              <w:t>溶洞</w:t>
            </w:r>
            <w:r>
              <w:rPr>
                <w:rStyle w:val="19"/>
                <w:rFonts w:hint="eastAsia" w:cs="宋体" w:asciiTheme="minorEastAsia" w:hAnsiTheme="minorEastAsia"/>
                <w:color w:val="auto"/>
                <w:kern w:val="21"/>
                <w:sz w:val="24"/>
                <w:szCs w:val="24"/>
                <w:u w:val="none"/>
              </w:rPr>
              <w:fldChar w:fldCharType="end"/>
            </w:r>
            <w:r>
              <w:rPr>
                <w:rFonts w:hint="eastAsia" w:cs="宋体" w:asciiTheme="minorEastAsia" w:hAnsiTheme="minorEastAsia"/>
                <w:kern w:val="21"/>
                <w:sz w:val="24"/>
                <w:szCs w:val="24"/>
              </w:rPr>
              <w:t>、釉泡、剥边、坯粉</w:t>
            </w:r>
          </w:p>
        </w:tc>
        <w:tc>
          <w:tcPr>
            <w:tcW w:w="3158" w:type="dxa"/>
            <w:tcBorders>
              <w:top w:val="single" w:color="auto" w:sz="6" w:space="0"/>
              <w:left w:val="single" w:color="auto" w:sz="6" w:space="0"/>
              <w:bottom w:val="single" w:color="auto" w:sz="6" w:space="0"/>
              <w:right w:val="single" w:color="auto" w:sz="12" w:space="0"/>
            </w:tcBorders>
            <w:vAlign w:val="center"/>
          </w:tcPr>
          <w:p w14:paraId="2F1268B6">
            <w:pPr>
              <w:jc w:val="center"/>
              <w:rPr>
                <w:rFonts w:cs="宋体" w:asciiTheme="minorEastAsia" w:hAnsiTheme="minorEastAsia"/>
                <w:kern w:val="21"/>
                <w:sz w:val="24"/>
                <w:szCs w:val="24"/>
              </w:rPr>
            </w:pPr>
            <w:r>
              <w:rPr>
                <w:rFonts w:hint="eastAsia" w:cs="宋体" w:asciiTheme="minorEastAsia" w:hAnsiTheme="minorEastAsia"/>
                <w:kern w:val="21"/>
                <w:sz w:val="24"/>
                <w:szCs w:val="24"/>
              </w:rPr>
              <w:t>相距1m处目测不明显</w:t>
            </w:r>
          </w:p>
        </w:tc>
      </w:tr>
      <w:tr w14:paraId="4E9EF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722" w:type="dxa"/>
            <w:tcBorders>
              <w:top w:val="single" w:color="auto" w:sz="6" w:space="0"/>
              <w:left w:val="single" w:color="auto" w:sz="12" w:space="0"/>
              <w:bottom w:val="single" w:color="auto" w:sz="6" w:space="0"/>
              <w:right w:val="single" w:color="auto" w:sz="6" w:space="0"/>
            </w:tcBorders>
            <w:vAlign w:val="center"/>
          </w:tcPr>
          <w:p w14:paraId="3A9CD48F">
            <w:pPr>
              <w:jc w:val="center"/>
              <w:rPr>
                <w:rFonts w:cs="宋体" w:asciiTheme="minorEastAsia" w:hAnsiTheme="minorEastAsia"/>
                <w:kern w:val="21"/>
                <w:sz w:val="24"/>
                <w:szCs w:val="24"/>
              </w:rPr>
            </w:pPr>
            <w:r>
              <w:rPr>
                <w:sz w:val="24"/>
                <w:szCs w:val="24"/>
              </w:rPr>
              <w:fldChar w:fldCharType="begin"/>
            </w:r>
            <w:r>
              <w:rPr>
                <w:sz w:val="24"/>
                <w:szCs w:val="24"/>
              </w:rPr>
              <w:instrText xml:space="preserve"> HYPERLINK "http://wenwen.soso.com/z/Search.e?sp=S%E8%A3%82%E7%BA%B9&amp;ch=w.search.yjjlink&amp;cid=w.search.yjjlink" \t "_blank" </w:instrText>
            </w:r>
            <w:r>
              <w:rPr>
                <w:sz w:val="24"/>
                <w:szCs w:val="24"/>
              </w:rPr>
              <w:fldChar w:fldCharType="separate"/>
            </w:r>
            <w:r>
              <w:rPr>
                <w:rStyle w:val="19"/>
                <w:rFonts w:hint="eastAsia" w:cs="宋体" w:asciiTheme="minorEastAsia" w:hAnsiTheme="minorEastAsia"/>
                <w:color w:val="auto"/>
                <w:kern w:val="21"/>
                <w:sz w:val="24"/>
                <w:szCs w:val="24"/>
                <w:u w:val="none"/>
              </w:rPr>
              <w:t>裂纹</w:t>
            </w:r>
            <w:r>
              <w:rPr>
                <w:rStyle w:val="19"/>
                <w:rFonts w:hint="eastAsia" w:cs="宋体" w:asciiTheme="minorEastAsia" w:hAnsiTheme="minorEastAsia"/>
                <w:color w:val="auto"/>
                <w:kern w:val="21"/>
                <w:sz w:val="24"/>
                <w:szCs w:val="24"/>
                <w:u w:val="none"/>
              </w:rPr>
              <w:fldChar w:fldCharType="end"/>
            </w:r>
          </w:p>
        </w:tc>
        <w:tc>
          <w:tcPr>
            <w:tcW w:w="3158" w:type="dxa"/>
            <w:tcBorders>
              <w:top w:val="single" w:color="auto" w:sz="6" w:space="0"/>
              <w:left w:val="single" w:color="auto" w:sz="6" w:space="0"/>
              <w:bottom w:val="single" w:color="auto" w:sz="6" w:space="0"/>
              <w:right w:val="single" w:color="auto" w:sz="12" w:space="0"/>
            </w:tcBorders>
            <w:vAlign w:val="center"/>
          </w:tcPr>
          <w:p w14:paraId="0E3060B3">
            <w:pPr>
              <w:jc w:val="center"/>
              <w:rPr>
                <w:rFonts w:cs="宋体" w:asciiTheme="minorEastAsia" w:hAnsiTheme="minorEastAsia"/>
                <w:kern w:val="21"/>
                <w:sz w:val="24"/>
                <w:szCs w:val="24"/>
              </w:rPr>
            </w:pPr>
            <w:r>
              <w:rPr>
                <w:rFonts w:hint="eastAsia" w:cs="宋体" w:asciiTheme="minorEastAsia" w:hAnsiTheme="minorEastAsia"/>
                <w:kern w:val="21"/>
                <w:sz w:val="24"/>
                <w:szCs w:val="24"/>
              </w:rPr>
              <w:t>不允许</w:t>
            </w:r>
          </w:p>
        </w:tc>
      </w:tr>
      <w:tr w14:paraId="37148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722" w:type="dxa"/>
            <w:tcBorders>
              <w:top w:val="single" w:color="auto" w:sz="6" w:space="0"/>
              <w:left w:val="single" w:color="auto" w:sz="12" w:space="0"/>
              <w:bottom w:val="single" w:color="auto" w:sz="12" w:space="0"/>
              <w:right w:val="single" w:color="auto" w:sz="6" w:space="0"/>
            </w:tcBorders>
            <w:vAlign w:val="center"/>
          </w:tcPr>
          <w:p w14:paraId="7B1432E6">
            <w:pPr>
              <w:jc w:val="center"/>
              <w:rPr>
                <w:rFonts w:cs="宋体" w:asciiTheme="minorEastAsia" w:hAnsiTheme="minorEastAsia"/>
                <w:kern w:val="21"/>
                <w:sz w:val="24"/>
                <w:szCs w:val="24"/>
              </w:rPr>
            </w:pPr>
            <w:r>
              <w:rPr>
                <w:rFonts w:hint="eastAsia" w:cs="宋体" w:asciiTheme="minorEastAsia" w:hAnsiTheme="minorEastAsia"/>
                <w:kern w:val="21"/>
                <w:sz w:val="24"/>
                <w:szCs w:val="24"/>
              </w:rPr>
              <w:t>色差</w:t>
            </w:r>
          </w:p>
        </w:tc>
        <w:tc>
          <w:tcPr>
            <w:tcW w:w="3158" w:type="dxa"/>
            <w:tcBorders>
              <w:top w:val="single" w:color="auto" w:sz="6" w:space="0"/>
              <w:left w:val="single" w:color="auto" w:sz="6" w:space="0"/>
              <w:bottom w:val="single" w:color="auto" w:sz="12" w:space="0"/>
              <w:right w:val="single" w:color="auto" w:sz="12" w:space="0"/>
            </w:tcBorders>
            <w:vAlign w:val="center"/>
          </w:tcPr>
          <w:p w14:paraId="452F73F2">
            <w:pPr>
              <w:jc w:val="center"/>
              <w:rPr>
                <w:rFonts w:cs="宋体" w:asciiTheme="minorEastAsia" w:hAnsiTheme="minorEastAsia"/>
                <w:kern w:val="21"/>
                <w:sz w:val="24"/>
                <w:szCs w:val="24"/>
              </w:rPr>
            </w:pPr>
            <w:r>
              <w:rPr>
                <w:rFonts w:hint="eastAsia" w:cs="宋体" w:asciiTheme="minorEastAsia" w:hAnsiTheme="minorEastAsia"/>
                <w:kern w:val="21"/>
                <w:sz w:val="24"/>
                <w:szCs w:val="24"/>
              </w:rPr>
              <w:t>距砖3m处目测不明显</w:t>
            </w:r>
          </w:p>
        </w:tc>
      </w:tr>
    </w:tbl>
    <w:p w14:paraId="3BC5654D">
      <w:pPr>
        <w:adjustRightInd w:val="0"/>
        <w:snapToGrid w:val="0"/>
        <w:spacing w:line="440" w:lineRule="atLeast"/>
        <w:ind w:firstLine="482" w:firstLineChars="200"/>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fldChar w:fldCharType="begin"/>
      </w:r>
      <w:r>
        <w:rPr>
          <w:rFonts w:hint="eastAsia" w:cs="宋体" w:asciiTheme="minorEastAsia" w:hAnsiTheme="minorEastAsia"/>
          <w:b/>
          <w:bCs/>
          <w:kern w:val="0"/>
          <w:sz w:val="24"/>
          <w:szCs w:val="24"/>
        </w:rPr>
        <w:instrText xml:space="preserve"> \* MERGEFORMAT </w:instrText>
      </w:r>
      <w:r>
        <w:rPr>
          <w:rFonts w:hint="eastAsia" w:cs="宋体" w:asciiTheme="minorEastAsia" w:hAnsiTheme="minorEastAsia"/>
          <w:b/>
          <w:bCs/>
          <w:kern w:val="0"/>
          <w:sz w:val="24"/>
          <w:szCs w:val="24"/>
        </w:rPr>
        <w:fldChar w:fldCharType="end"/>
      </w:r>
      <w:r>
        <w:rPr>
          <w:rFonts w:hint="eastAsia" w:cs="宋体" w:asciiTheme="minorEastAsia" w:hAnsiTheme="minorEastAsia"/>
          <w:b/>
          <w:bCs/>
          <w:kern w:val="0"/>
          <w:sz w:val="24"/>
          <w:szCs w:val="24"/>
        </w:rPr>
        <w:t>釉面地面砖指标及检测方法</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25"/>
        <w:gridCol w:w="3958"/>
      </w:tblGrid>
      <w:tr w14:paraId="05C0D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12" w:space="0"/>
              <w:left w:val="single" w:color="auto" w:sz="12" w:space="0"/>
              <w:bottom w:val="single" w:color="auto" w:sz="6" w:space="0"/>
              <w:right w:val="single" w:color="auto" w:sz="6" w:space="0"/>
            </w:tcBorders>
            <w:vAlign w:val="center"/>
          </w:tcPr>
          <w:p w14:paraId="114D373A">
            <w:pPr>
              <w:topLinePunct/>
              <w:snapToGrid w:val="0"/>
              <w:jc w:val="center"/>
              <w:rPr>
                <w:rFonts w:asciiTheme="minorEastAsia" w:hAnsiTheme="minorEastAsia"/>
                <w:b/>
                <w:bCs/>
                <w:kern w:val="21"/>
                <w:sz w:val="24"/>
                <w:szCs w:val="24"/>
              </w:rPr>
            </w:pPr>
            <w:r>
              <w:rPr>
                <w:rFonts w:hint="eastAsia" w:asciiTheme="minorEastAsia" w:hAnsiTheme="minorEastAsia"/>
                <w:b/>
                <w:bCs/>
                <w:kern w:val="21"/>
                <w:sz w:val="24"/>
                <w:szCs w:val="24"/>
              </w:rPr>
              <w:t>项目</w:t>
            </w:r>
          </w:p>
        </w:tc>
        <w:tc>
          <w:tcPr>
            <w:tcW w:w="3958" w:type="dxa"/>
            <w:tcBorders>
              <w:top w:val="single" w:color="auto" w:sz="12" w:space="0"/>
              <w:left w:val="single" w:color="auto" w:sz="6" w:space="0"/>
              <w:bottom w:val="single" w:color="auto" w:sz="6" w:space="0"/>
              <w:right w:val="single" w:color="auto" w:sz="12" w:space="0"/>
            </w:tcBorders>
            <w:vAlign w:val="center"/>
          </w:tcPr>
          <w:p w14:paraId="0B739F4A">
            <w:pPr>
              <w:topLinePunct/>
              <w:snapToGrid w:val="0"/>
              <w:jc w:val="center"/>
              <w:rPr>
                <w:rFonts w:asciiTheme="minorEastAsia" w:hAnsiTheme="minorEastAsia"/>
                <w:b/>
                <w:bCs/>
                <w:kern w:val="21"/>
                <w:sz w:val="24"/>
                <w:szCs w:val="24"/>
              </w:rPr>
            </w:pPr>
            <w:r>
              <w:rPr>
                <w:rFonts w:hint="eastAsia" w:asciiTheme="minorEastAsia" w:hAnsiTheme="minorEastAsia"/>
                <w:b/>
                <w:bCs/>
                <w:kern w:val="21"/>
                <w:sz w:val="24"/>
                <w:szCs w:val="24"/>
              </w:rPr>
              <w:t>指标</w:t>
            </w:r>
          </w:p>
        </w:tc>
      </w:tr>
      <w:tr w14:paraId="4FE01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54001CCD">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尺寸偏差</w:t>
            </w:r>
          </w:p>
        </w:tc>
        <w:tc>
          <w:tcPr>
            <w:tcW w:w="3958" w:type="dxa"/>
            <w:tcBorders>
              <w:top w:val="single" w:color="auto" w:sz="6" w:space="0"/>
              <w:left w:val="single" w:color="auto" w:sz="6" w:space="0"/>
              <w:bottom w:val="single" w:color="auto" w:sz="6" w:space="0"/>
              <w:right w:val="single" w:color="auto" w:sz="12" w:space="0"/>
            </w:tcBorders>
            <w:vAlign w:val="center"/>
          </w:tcPr>
          <w:p w14:paraId="0B0B1BF0">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0.6%</w:t>
            </w:r>
          </w:p>
        </w:tc>
      </w:tr>
      <w:tr w14:paraId="3F68D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48E612E8">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表面质量</w:t>
            </w:r>
          </w:p>
        </w:tc>
        <w:tc>
          <w:tcPr>
            <w:tcW w:w="3958" w:type="dxa"/>
            <w:tcBorders>
              <w:top w:val="single" w:color="auto" w:sz="6" w:space="0"/>
              <w:left w:val="single" w:color="auto" w:sz="6" w:space="0"/>
              <w:bottom w:val="single" w:color="auto" w:sz="6" w:space="0"/>
              <w:right w:val="single" w:color="auto" w:sz="12" w:space="0"/>
            </w:tcBorders>
            <w:vAlign w:val="center"/>
          </w:tcPr>
          <w:p w14:paraId="2F2DB291">
            <w:pPr>
              <w:topLinePunct/>
              <w:snapToGrid w:val="0"/>
              <w:jc w:val="center"/>
              <w:rPr>
                <w:rFonts w:asciiTheme="minorEastAsia" w:hAnsiTheme="minorEastAsia"/>
                <w:kern w:val="21"/>
                <w:sz w:val="24"/>
                <w:szCs w:val="24"/>
              </w:rPr>
            </w:pPr>
            <w:r>
              <w:rPr>
                <w:rFonts w:asciiTheme="minorEastAsia" w:hAnsiTheme="minorEastAsia"/>
                <w:kern w:val="21"/>
                <w:sz w:val="24"/>
                <w:szCs w:val="24"/>
              </w:rPr>
              <w:t>90</w:t>
            </w:r>
            <w:r>
              <w:rPr>
                <w:rFonts w:hint="eastAsia" w:asciiTheme="minorEastAsia" w:hAnsiTheme="minorEastAsia"/>
                <w:kern w:val="21"/>
                <w:sz w:val="24"/>
                <w:szCs w:val="24"/>
              </w:rPr>
              <w:t>＜</w:t>
            </w:r>
            <w:r>
              <w:rPr>
                <w:rFonts w:asciiTheme="minorEastAsia" w:hAnsiTheme="minorEastAsia"/>
                <w:kern w:val="21"/>
                <w:sz w:val="24"/>
                <w:szCs w:val="24"/>
              </w:rPr>
              <w:t>S</w:t>
            </w:r>
            <w:r>
              <w:rPr>
                <w:rFonts w:hint="eastAsia" w:asciiTheme="minorEastAsia" w:hAnsiTheme="minorEastAsia"/>
                <w:kern w:val="21"/>
                <w:sz w:val="24"/>
                <w:szCs w:val="24"/>
              </w:rPr>
              <w:t>≤</w:t>
            </w:r>
            <w:r>
              <w:rPr>
                <w:rFonts w:asciiTheme="minorEastAsia" w:hAnsiTheme="minorEastAsia"/>
                <w:kern w:val="21"/>
                <w:sz w:val="24"/>
                <w:szCs w:val="24"/>
              </w:rPr>
              <w:t>190</w:t>
            </w:r>
          </w:p>
        </w:tc>
      </w:tr>
      <w:tr w14:paraId="32C88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408802FD">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变形·边直度</w:t>
            </w:r>
          </w:p>
        </w:tc>
        <w:tc>
          <w:tcPr>
            <w:tcW w:w="3958" w:type="dxa"/>
            <w:tcBorders>
              <w:top w:val="single" w:color="auto" w:sz="6" w:space="0"/>
              <w:left w:val="single" w:color="auto" w:sz="6" w:space="0"/>
              <w:bottom w:val="single" w:color="auto" w:sz="6" w:space="0"/>
              <w:right w:val="single" w:color="auto" w:sz="12" w:space="0"/>
            </w:tcBorders>
            <w:vAlign w:val="center"/>
          </w:tcPr>
          <w:p w14:paraId="291DF266">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0.5%</w:t>
            </w:r>
          </w:p>
        </w:tc>
      </w:tr>
      <w:tr w14:paraId="24337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5B01EE49">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直角度</w:t>
            </w:r>
          </w:p>
        </w:tc>
        <w:tc>
          <w:tcPr>
            <w:tcW w:w="3958" w:type="dxa"/>
            <w:tcBorders>
              <w:top w:val="single" w:color="auto" w:sz="6" w:space="0"/>
              <w:left w:val="single" w:color="auto" w:sz="6" w:space="0"/>
              <w:bottom w:val="single" w:color="auto" w:sz="6" w:space="0"/>
              <w:right w:val="single" w:color="auto" w:sz="12" w:space="0"/>
            </w:tcBorders>
            <w:vAlign w:val="center"/>
          </w:tcPr>
          <w:p w14:paraId="243372BC">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0.6%</w:t>
            </w:r>
          </w:p>
        </w:tc>
      </w:tr>
      <w:tr w14:paraId="62E53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1AD7A906">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平整度</w:t>
            </w:r>
          </w:p>
        </w:tc>
        <w:tc>
          <w:tcPr>
            <w:tcW w:w="3958" w:type="dxa"/>
            <w:tcBorders>
              <w:top w:val="single" w:color="auto" w:sz="6" w:space="0"/>
              <w:left w:val="single" w:color="auto" w:sz="6" w:space="0"/>
              <w:bottom w:val="single" w:color="auto" w:sz="6" w:space="0"/>
              <w:right w:val="single" w:color="auto" w:sz="12" w:space="0"/>
            </w:tcBorders>
            <w:vAlign w:val="center"/>
          </w:tcPr>
          <w:p w14:paraId="68BEE0E1">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0.5%</w:t>
            </w:r>
          </w:p>
        </w:tc>
      </w:tr>
      <w:tr w14:paraId="28692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5ABBA700">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吸水率</w:t>
            </w:r>
          </w:p>
        </w:tc>
        <w:tc>
          <w:tcPr>
            <w:tcW w:w="3958" w:type="dxa"/>
            <w:tcBorders>
              <w:top w:val="single" w:color="auto" w:sz="6" w:space="0"/>
              <w:left w:val="single" w:color="auto" w:sz="6" w:space="0"/>
              <w:bottom w:val="single" w:color="auto" w:sz="6" w:space="0"/>
              <w:right w:val="single" w:color="auto" w:sz="12" w:space="0"/>
            </w:tcBorders>
            <w:vAlign w:val="center"/>
          </w:tcPr>
          <w:p w14:paraId="3D4F7207">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3%</w:t>
            </w:r>
          </w:p>
        </w:tc>
      </w:tr>
      <w:tr w14:paraId="75F0D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5A82A140">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光泽度</w:t>
            </w:r>
          </w:p>
        </w:tc>
        <w:tc>
          <w:tcPr>
            <w:tcW w:w="3958" w:type="dxa"/>
            <w:tcBorders>
              <w:top w:val="single" w:color="auto" w:sz="6" w:space="0"/>
              <w:left w:val="single" w:color="auto" w:sz="6" w:space="0"/>
              <w:bottom w:val="single" w:color="auto" w:sz="6" w:space="0"/>
              <w:right w:val="single" w:color="auto" w:sz="12" w:space="0"/>
            </w:tcBorders>
            <w:vAlign w:val="center"/>
          </w:tcPr>
          <w:p w14:paraId="5918F577">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55</w:t>
            </w:r>
          </w:p>
        </w:tc>
      </w:tr>
      <w:tr w14:paraId="4A354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6F4E43C2">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破坏强度（</w:t>
            </w:r>
            <w:r>
              <w:rPr>
                <w:rFonts w:asciiTheme="minorEastAsia" w:hAnsiTheme="minorEastAsia"/>
                <w:kern w:val="21"/>
                <w:sz w:val="24"/>
                <w:szCs w:val="24"/>
              </w:rPr>
              <w:t>Mpa</w:t>
            </w:r>
            <w:r>
              <w:rPr>
                <w:rFonts w:hint="eastAsia" w:asciiTheme="minorEastAsia" w:hAnsiTheme="minorEastAsia"/>
                <w:kern w:val="21"/>
                <w:sz w:val="24"/>
                <w:szCs w:val="24"/>
              </w:rPr>
              <w:t>）</w:t>
            </w:r>
          </w:p>
        </w:tc>
        <w:tc>
          <w:tcPr>
            <w:tcW w:w="3958" w:type="dxa"/>
            <w:tcBorders>
              <w:top w:val="single" w:color="auto" w:sz="6" w:space="0"/>
              <w:left w:val="single" w:color="auto" w:sz="6" w:space="0"/>
              <w:bottom w:val="single" w:color="auto" w:sz="6" w:space="0"/>
              <w:right w:val="single" w:color="auto" w:sz="12" w:space="0"/>
            </w:tcBorders>
            <w:vAlign w:val="center"/>
          </w:tcPr>
          <w:p w14:paraId="0C46C2DF">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23</w:t>
            </w:r>
          </w:p>
        </w:tc>
      </w:tr>
      <w:tr w14:paraId="1D357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6" w:space="0"/>
              <w:right w:val="single" w:color="auto" w:sz="6" w:space="0"/>
            </w:tcBorders>
            <w:vAlign w:val="center"/>
          </w:tcPr>
          <w:p w14:paraId="103B0762">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耐污染性</w:t>
            </w:r>
          </w:p>
        </w:tc>
        <w:tc>
          <w:tcPr>
            <w:tcW w:w="3958" w:type="dxa"/>
            <w:tcBorders>
              <w:top w:val="single" w:color="auto" w:sz="6" w:space="0"/>
              <w:left w:val="single" w:color="auto" w:sz="6" w:space="0"/>
              <w:bottom w:val="single" w:color="auto" w:sz="6" w:space="0"/>
              <w:right w:val="single" w:color="auto" w:sz="12" w:space="0"/>
            </w:tcBorders>
            <w:vAlign w:val="center"/>
          </w:tcPr>
          <w:p w14:paraId="6FFA474B">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最低</w:t>
            </w:r>
            <w:r>
              <w:rPr>
                <w:rFonts w:asciiTheme="minorEastAsia" w:hAnsiTheme="minorEastAsia"/>
                <w:kern w:val="21"/>
                <w:sz w:val="24"/>
                <w:szCs w:val="24"/>
              </w:rPr>
              <w:t>3</w:t>
            </w:r>
            <w:r>
              <w:rPr>
                <w:rFonts w:hint="eastAsia" w:asciiTheme="minorEastAsia" w:hAnsiTheme="minorEastAsia"/>
                <w:kern w:val="21"/>
                <w:sz w:val="24"/>
                <w:szCs w:val="24"/>
              </w:rPr>
              <w:t>级</w:t>
            </w:r>
          </w:p>
        </w:tc>
      </w:tr>
      <w:tr w14:paraId="6E9C7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625" w:type="dxa"/>
            <w:tcBorders>
              <w:top w:val="single" w:color="auto" w:sz="6" w:space="0"/>
              <w:left w:val="single" w:color="auto" w:sz="12" w:space="0"/>
              <w:bottom w:val="single" w:color="auto" w:sz="12" w:space="0"/>
              <w:right w:val="single" w:color="auto" w:sz="6" w:space="0"/>
            </w:tcBorders>
            <w:vAlign w:val="center"/>
          </w:tcPr>
          <w:p w14:paraId="425CAF46">
            <w:pPr>
              <w:topLinePunct/>
              <w:snapToGrid w:val="0"/>
              <w:rPr>
                <w:rFonts w:asciiTheme="minorEastAsia" w:hAnsiTheme="minorEastAsia"/>
                <w:kern w:val="21"/>
                <w:sz w:val="24"/>
                <w:szCs w:val="24"/>
              </w:rPr>
            </w:pPr>
            <w:r>
              <w:rPr>
                <w:rFonts w:hint="eastAsia" w:asciiTheme="minorEastAsia" w:hAnsiTheme="minorEastAsia"/>
                <w:kern w:val="21"/>
                <w:sz w:val="24"/>
                <w:szCs w:val="24"/>
              </w:rPr>
              <w:t>湿摩擦系数</w:t>
            </w:r>
          </w:p>
        </w:tc>
        <w:tc>
          <w:tcPr>
            <w:tcW w:w="3958" w:type="dxa"/>
            <w:tcBorders>
              <w:top w:val="single" w:color="auto" w:sz="6" w:space="0"/>
              <w:left w:val="single" w:color="auto" w:sz="6" w:space="0"/>
              <w:bottom w:val="single" w:color="auto" w:sz="12" w:space="0"/>
              <w:right w:val="single" w:color="auto" w:sz="12" w:space="0"/>
            </w:tcBorders>
            <w:vAlign w:val="center"/>
          </w:tcPr>
          <w:p w14:paraId="19E61C6A">
            <w:pPr>
              <w:topLinePunct/>
              <w:snapToGrid w:val="0"/>
              <w:jc w:val="center"/>
              <w:rPr>
                <w:rFonts w:asciiTheme="minorEastAsia" w:hAnsiTheme="minorEastAsia"/>
                <w:kern w:val="21"/>
                <w:sz w:val="24"/>
                <w:szCs w:val="24"/>
              </w:rPr>
            </w:pPr>
            <w:r>
              <w:rPr>
                <w:rFonts w:hint="eastAsia" w:asciiTheme="minorEastAsia" w:hAnsiTheme="minorEastAsia"/>
                <w:kern w:val="21"/>
                <w:sz w:val="24"/>
                <w:szCs w:val="24"/>
              </w:rPr>
              <w:t>≥</w:t>
            </w:r>
            <w:r>
              <w:rPr>
                <w:rFonts w:asciiTheme="minorEastAsia" w:hAnsiTheme="minorEastAsia"/>
                <w:kern w:val="21"/>
                <w:sz w:val="24"/>
                <w:szCs w:val="24"/>
              </w:rPr>
              <w:t>0.5</w:t>
            </w:r>
          </w:p>
        </w:tc>
      </w:tr>
    </w:tbl>
    <w:p w14:paraId="1C0D9E15">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2.7天花板吊顶</w:t>
      </w:r>
    </w:p>
    <w:p w14:paraId="7900ADA8">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完整的吊顶系统按图纸所示的要求以及监理人批准的方式提供和安装，施工工艺应符合相关的通用建筑标准设计的有关要求。</w:t>
      </w:r>
    </w:p>
    <w:p w14:paraId="792A1F84">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2.8洁具</w:t>
      </w:r>
    </w:p>
    <w:p w14:paraId="74434581">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）卫生洁具及其配件成套提供。配件要求与洁具同档次。</w:t>
      </w:r>
    </w:p>
    <w:p w14:paraId="3CBEF848">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）所有卫生器具的规格、型号、颜色均应按施工图纸规定的标准选择。采购前须向监理人提交设备购置清单，清单中须注明卫生器具的规格、型号、颜色、数量和价格，经监理人认可批准后方可进行采购。</w:t>
      </w:r>
    </w:p>
    <w:p w14:paraId="1B82222A">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卫生器具安装前，应仔细检查设备合格。卫生器具和给排水配件的镀铬件零件须完整，器具与管道的接口须严密，无渗漏现象；阀门、龙头等部件应开关灵活。其平面的安装位置及卫生器具的给排水配件安装尺寸应符合施工详图规定。卫生间内的地面应有</w:t>
      </w:r>
      <w:r>
        <w:rPr>
          <w:rFonts w:asciiTheme="minorEastAsia" w:hAnsiTheme="minorEastAsia" w:eastAsiaTheme="minorEastAsia"/>
          <w:sz w:val="24"/>
          <w:szCs w:val="24"/>
        </w:rPr>
        <w:t>1%</w:t>
      </w:r>
      <w:r>
        <w:rPr>
          <w:rFonts w:hint="eastAsia" w:asciiTheme="minorEastAsia" w:hAnsiTheme="minorEastAsia" w:eastAsiaTheme="minorEastAsia"/>
          <w:sz w:val="24"/>
          <w:szCs w:val="24"/>
        </w:rPr>
        <w:t>的坡度，坡向地漏。地漏位置处为地面最低点，地漏篦子顶面应比地面低</w:t>
      </w:r>
      <w:r>
        <w:rPr>
          <w:rFonts w:asciiTheme="minorEastAsia" w:hAnsiTheme="minorEastAsia" w:eastAsiaTheme="minorEastAsia"/>
          <w:sz w:val="24"/>
          <w:szCs w:val="24"/>
        </w:rPr>
        <w:t>10mm</w:t>
      </w:r>
      <w:r>
        <w:rPr>
          <w:rFonts w:hint="eastAsia" w:asciiTheme="minorEastAsia" w:hAnsiTheme="minorEastAsia" w:eastAsiaTheme="minorEastAsia"/>
          <w:sz w:val="24"/>
          <w:szCs w:val="24"/>
        </w:rPr>
        <w:t>。</w:t>
      </w:r>
    </w:p>
    <w:p w14:paraId="4701F5B2">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）所有的卫生器具及附件均要求选用节水型的设施。</w:t>
      </w:r>
    </w:p>
    <w:p w14:paraId="6CEA53ED">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）各种卫生器具的安装应符合国家有关规范、规程的要求。</w:t>
      </w:r>
    </w:p>
    <w:p w14:paraId="5709B0BC">
      <w:pPr>
        <w:adjustRightInd w:val="0"/>
        <w:snapToGrid w:val="0"/>
        <w:spacing w:line="480" w:lineRule="exact"/>
        <w:ind w:firstLine="480" w:firstLineChars="200"/>
        <w:jc w:val="left"/>
        <w:rPr>
          <w:rFonts w:cs="黑体" w:asciiTheme="minorEastAsia" w:hAnsiTheme="minorEastAsia"/>
          <w:kern w:val="0"/>
          <w:sz w:val="24"/>
          <w:szCs w:val="24"/>
        </w:rPr>
      </w:pPr>
      <w:r>
        <w:rPr>
          <w:rFonts w:hint="eastAsia" w:cs="黑体" w:asciiTheme="minorEastAsia" w:hAnsiTheme="minorEastAsia"/>
          <w:kern w:val="0"/>
          <w:sz w:val="24"/>
          <w:szCs w:val="24"/>
        </w:rPr>
        <w:t>2.9建筑防水</w:t>
      </w:r>
    </w:p>
    <w:p w14:paraId="55CE34F5">
      <w:pPr>
        <w:pStyle w:val="15"/>
        <w:snapToGrid w:val="0"/>
        <w:spacing w:line="440" w:lineRule="atLeas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）建筑室内防水</w:t>
      </w:r>
    </w:p>
    <w:p w14:paraId="7082893A">
      <w:pPr>
        <w:pStyle w:val="15"/>
        <w:snapToGrid w:val="0"/>
        <w:spacing w:line="440" w:lineRule="atLeas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建筑室内防水主要是地下水池防水、卫生间地面和墙面防水，刷防水涂料时应清理表面杂质，刷防水涂料必须遵照国家标准《建筑室内防水工程技术规程》</w:t>
      </w:r>
      <w:r>
        <w:rPr>
          <w:rFonts w:asciiTheme="minorEastAsia" w:hAnsiTheme="minorEastAsia" w:eastAsiaTheme="minorEastAsia"/>
          <w:sz w:val="24"/>
          <w:szCs w:val="24"/>
        </w:rPr>
        <w:t>CECS196-2006</w:t>
      </w:r>
      <w:r>
        <w:rPr>
          <w:rFonts w:hint="eastAsia" w:asciiTheme="minorEastAsia" w:hAnsiTheme="minorEastAsia" w:eastAsiaTheme="minorEastAsia"/>
          <w:sz w:val="24"/>
          <w:szCs w:val="24"/>
        </w:rPr>
        <w:t>中的有关规定执行。防水工程完毕后，经多方验收合格后，才能进行下一步施工。楼面应根据有关规定进行闭水试验。</w:t>
      </w:r>
    </w:p>
    <w:p w14:paraId="2833424C">
      <w:pPr>
        <w:jc w:val="left"/>
        <w:rPr>
          <w:rFonts w:cs="Times New Roman" w:asciiTheme="minorEastAsia" w:hAnsiTheme="minorEastAsia"/>
          <w:sz w:val="24"/>
          <w:szCs w:val="24"/>
        </w:rPr>
      </w:pPr>
      <w:bookmarkStart w:id="92" w:name="_Toc91341108"/>
      <w:r>
        <w:rPr>
          <w:rFonts w:hint="eastAsia" w:cs="Times New Roman" w:asciiTheme="minorEastAsia" w:hAnsiTheme="minorEastAsia"/>
          <w:sz w:val="24"/>
          <w:szCs w:val="24"/>
        </w:rPr>
        <w:t>3、 给排水工程</w:t>
      </w:r>
      <w:bookmarkEnd w:id="92"/>
    </w:p>
    <w:p w14:paraId="5669C0C6">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3.1一般规定</w:t>
      </w:r>
    </w:p>
    <w:p w14:paraId="5ECF5156">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1）给排水系统的施工安装工作内容包括本标段内所有室内和室外给排水、热水、消防给水系统的设备及附件、管道、管件、卫生器具、成品支吊架、抗震支吊架、孔洞封堵材料、构筑物等的采购、运输、保管、仓储、加工、安装、埋设、检验、试验、验收、维护、消缺直至移交给发包人的全部工作，以及上述各项设备和设施防腐、防潮、保温措施的施工。其中管道、阀门、附件、材料标书与图纸不一致的以图纸中规定为准。</w:t>
      </w:r>
    </w:p>
    <w:p w14:paraId="675C197E">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2）承包人在施工过程中应与各设备厂家密切配合。必须委派有经验的施工人员进行本工程消防、给水、排水及卫生系统工程的施工。承包人承担消防部分的工作，必须具有相应的资质或委托给当地消防部门认可的具有相应资质的施工单位或企业来实施。用于本工程的消火栓、灭火器的设备和部件，必须具有中国消防监督管理部门认可签发的消防产品检测证书、消防产品生产许可证、消防产品销售许可证、每个消防产品的合格证。上述证书和文件的有效日期必须与本工程消防产品的选购、使用日期相符合。</w:t>
      </w:r>
    </w:p>
    <w:p w14:paraId="3E1A8F7A">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3）承包人应按发包人提供的设计图纸和设计文件，国家和部颁最新的有关规范、规程、标准，以及设备生产厂家的安装图纸、安装说明书进行设备、部件的安装、调整、试验。承包人在工程安装调试完毕，直至移交发包人前，承包人一直负有对所安装工程设施的照管责任。在安装过程中，因安装工艺不当，或因疏忽大意，操作、保护不当，或因安装后的维护不周等责任，造成所安装设施的损坏、丢失等后果，承包人应主动向监理人提出书面报告，并承担修复所需要的费用，以及造成延误工期责任。修复工艺和所用材料应符合设计图纸、文件、国家标准、规范及本合同的技术要求。</w:t>
      </w:r>
    </w:p>
    <w:p w14:paraId="15F81D1C">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4）施工安装图纸采用国家标准图集时，承包人应按施工安装图纸指定的标准图集号，自行置备标准图集。凡有关安装规程、规范、标准图集、技术要求已经明确或属于常规安装的部分，设计图纸上不再提供安装大样图。</w:t>
      </w:r>
    </w:p>
    <w:p w14:paraId="26A6D083">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5）任何形式的给水、排水工程在施工实施过程中必须注意避免堵塞，在工程最终竣工验收移交之前承包人必须维护所有的给水排水工程，如有堵塞、阻碍或损坏现象发生，承包人应按监理的要求及时采取措施予以排除和修复，而不得增加发包人的费用。</w:t>
      </w:r>
    </w:p>
    <w:p w14:paraId="576375B9">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6）承包人应对漏埋、错埋、或其它原因造成的损坏负责。监理人要求承包人临时增加埋设工作，承包人应遵照执行。</w:t>
      </w:r>
    </w:p>
    <w:p w14:paraId="1FAA2F72">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7）承包人应在给排水工程施工前28天，按施工图纸要求和监理人指示，提交一份给排水设备、材料采购计划及给排水安装和埋设措施计划，报送监理人审批，其内容应包括各给排水设备的安装项目、安装方法、安装时间、施工程序中隐蔽工程验收记录、中间验收记录、给排水、消防系统水冲洗及水压试验记录及与建筑物施工进度的协调和施工期维护措施等。</w:t>
      </w:r>
    </w:p>
    <w:p w14:paraId="6B777C22">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8）材料与器材：承包人使用的所有材料和器材，应符合施工图纸的规定。材料和器材必须具有制造厂的质量证明书，其质量不得低于国家现行标准的规定。若承包人要求采用代用材料和器材时，应将代用材料和器材的质量证明书及试用成果报送监理人审批。未经监理人批准的代用材料和器材不得使用。承包人应事先做好埋设管道的管材，管件等材料的准备工作，不得在临施工时以事先未备妥管件器材为理由要求变更埋设件。</w:t>
      </w:r>
    </w:p>
    <w:p w14:paraId="3238DCE5">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9）除设计图纸所列出的主要设备、材料以外，承包人还必须置备完成安装工作所必需的、设计图纸中未一一列出的各种辅助材料，包括但不限于螺栓、螺母、垫圈、铆钉、垫片、支撑、夹具、压条、网格、电焊条、密封填料、保温辅材、油漆、铁丝、粘结材料、二期混凝土、二期砂浆等等。其规格数量按有关安装规程、规范、定额、标准图集、设计大样图及合同技术要求等的规定置备</w:t>
      </w:r>
    </w:p>
    <w:p w14:paraId="0158A90C">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10）主要给排水工程设备参数详见招标图纸及清单。</w:t>
      </w:r>
    </w:p>
    <w:p w14:paraId="654461FB">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3.2给排水管道、设备、构筑物等技术要求</w:t>
      </w:r>
    </w:p>
    <w:p w14:paraId="3AFF1753">
      <w:pPr>
        <w:ind w:firstLine="420" w:firstLineChars="0"/>
        <w:jc w:val="left"/>
        <w:rPr>
          <w:rFonts w:hint="eastAsia"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PPR</w:t>
      </w:r>
      <w:r>
        <w:rPr>
          <w:rFonts w:hint="eastAsia" w:cs="Times New Roman" w:asciiTheme="minorEastAsia" w:hAnsiTheme="minorEastAsia"/>
          <w:sz w:val="24"/>
          <w:szCs w:val="24"/>
        </w:rPr>
        <w:t>塑料给水管</w:t>
      </w:r>
    </w:p>
    <w:p w14:paraId="643183B9">
      <w:pPr>
        <w:ind w:firstLine="420" w:firstLineChars="0"/>
        <w:jc w:val="left"/>
        <w:rPr>
          <w:rFonts w:cs="Times New Roman" w:asciiTheme="minorEastAsia" w:hAnsiTheme="minorEastAsia"/>
          <w:sz w:val="24"/>
          <w:szCs w:val="24"/>
        </w:rPr>
      </w:pPr>
      <w:r>
        <w:rPr>
          <w:rFonts w:hint="eastAsia" w:cs="Times New Roman" w:asciiTheme="minorEastAsia" w:hAnsiTheme="minorEastAsia"/>
          <w:sz w:val="24"/>
          <w:szCs w:val="24"/>
        </w:rPr>
        <w:t>支管采用给水聚丙烯（</w:t>
      </w:r>
      <w:r>
        <w:rPr>
          <w:rFonts w:cs="Times New Roman" w:asciiTheme="minorEastAsia" w:hAnsiTheme="minorEastAsia"/>
          <w:sz w:val="24"/>
          <w:szCs w:val="24"/>
        </w:rPr>
        <w:t>PP-R</w:t>
      </w:r>
      <w:r>
        <w:rPr>
          <w:rFonts w:hint="eastAsia" w:cs="Times New Roman" w:asciiTheme="minorEastAsia" w:hAnsiTheme="minorEastAsia"/>
          <w:sz w:val="24"/>
          <w:szCs w:val="24"/>
        </w:rPr>
        <w:t>）冷水管及其配件，</w:t>
      </w:r>
      <w:r>
        <w:rPr>
          <w:rFonts w:cs="Times New Roman" w:asciiTheme="minorEastAsia" w:hAnsiTheme="minorEastAsia"/>
          <w:sz w:val="24"/>
          <w:szCs w:val="24"/>
        </w:rPr>
        <w:t>S5</w:t>
      </w:r>
      <w:r>
        <w:rPr>
          <w:rFonts w:hint="eastAsia" w:cs="Times New Roman" w:asciiTheme="minorEastAsia" w:hAnsiTheme="minorEastAsia"/>
          <w:sz w:val="24"/>
          <w:szCs w:val="24"/>
        </w:rPr>
        <w:t>系列，熔接；热水管道采用给水聚丙烯（</w:t>
      </w:r>
      <w:r>
        <w:rPr>
          <w:rFonts w:cs="Times New Roman" w:asciiTheme="minorEastAsia" w:hAnsiTheme="minorEastAsia"/>
          <w:sz w:val="24"/>
          <w:szCs w:val="24"/>
        </w:rPr>
        <w:t>PP-R</w:t>
      </w:r>
      <w:r>
        <w:rPr>
          <w:rFonts w:hint="eastAsia" w:cs="Times New Roman" w:asciiTheme="minorEastAsia" w:hAnsiTheme="minorEastAsia"/>
          <w:sz w:val="24"/>
          <w:szCs w:val="24"/>
        </w:rPr>
        <w:t>）热水管及其配件，</w:t>
      </w:r>
      <w:r>
        <w:rPr>
          <w:rFonts w:cs="Times New Roman" w:asciiTheme="minorEastAsia" w:hAnsiTheme="minorEastAsia"/>
          <w:sz w:val="24"/>
          <w:szCs w:val="24"/>
        </w:rPr>
        <w:t>S3.2</w:t>
      </w:r>
      <w:r>
        <w:rPr>
          <w:rFonts w:hint="eastAsia" w:cs="Times New Roman" w:asciiTheme="minorEastAsia" w:hAnsiTheme="minorEastAsia"/>
          <w:sz w:val="24"/>
          <w:szCs w:val="24"/>
        </w:rPr>
        <w:t>系列，熔接。管道及附件应满足《冷热水用聚丙烯管道系统》（</w:t>
      </w:r>
      <w:r>
        <w:rPr>
          <w:rFonts w:cs="Times New Roman" w:asciiTheme="minorEastAsia" w:hAnsiTheme="minorEastAsia"/>
          <w:sz w:val="24"/>
          <w:szCs w:val="24"/>
        </w:rPr>
        <w:t>GB/T18742</w:t>
      </w:r>
      <w:r>
        <w:rPr>
          <w:rFonts w:hint="eastAsia" w:cs="Times New Roman" w:asciiTheme="minorEastAsia" w:hAnsiTheme="minorEastAsia"/>
          <w:sz w:val="24"/>
          <w:szCs w:val="24"/>
        </w:rPr>
        <w:t>）及《生活饮用水输配水设备及防护材料的安全性评价标准》（</w:t>
      </w:r>
      <w:r>
        <w:rPr>
          <w:rFonts w:cs="Times New Roman" w:asciiTheme="minorEastAsia" w:hAnsiTheme="minorEastAsia"/>
          <w:sz w:val="24"/>
          <w:szCs w:val="24"/>
        </w:rPr>
        <w:t>GB/T17219</w:t>
      </w:r>
      <w:r>
        <w:rPr>
          <w:rFonts w:hint="eastAsia" w:cs="Times New Roman" w:asciiTheme="minorEastAsia" w:hAnsiTheme="minorEastAsia"/>
          <w:sz w:val="24"/>
          <w:szCs w:val="24"/>
        </w:rPr>
        <w:t>）要求。</w:t>
      </w:r>
    </w:p>
    <w:p w14:paraId="5E31E14F">
      <w:pPr>
        <w:ind w:firstLine="420" w:firstLineChars="0"/>
        <w:jc w:val="left"/>
        <w:rPr>
          <w:rFonts w:cs="Times New Roman" w:asciiTheme="minorEastAsia" w:hAnsiTheme="minorEastAsia"/>
          <w:sz w:val="24"/>
          <w:szCs w:val="24"/>
        </w:rPr>
      </w:pPr>
      <w:r>
        <w:rPr>
          <w:rFonts w:hint="eastAsia" w:cs="Times New Roman" w:asciiTheme="minorEastAsia" w:hAnsiTheme="minorEastAsia"/>
          <w:sz w:val="24"/>
          <w:szCs w:val="24"/>
        </w:rPr>
        <w:t>（2）室内给水干管、立管采用钢塑复合管（镀锌钢管内衬塑聚乙烯），公称压力为</w:t>
      </w:r>
      <w:r>
        <w:rPr>
          <w:rFonts w:cs="Times New Roman" w:asciiTheme="minorEastAsia" w:hAnsiTheme="minorEastAsia"/>
          <w:sz w:val="24"/>
          <w:szCs w:val="24"/>
        </w:rPr>
        <w:t>1.0MPa</w:t>
      </w:r>
      <w:r>
        <w:rPr>
          <w:rFonts w:hint="eastAsia" w:cs="Times New Roman" w:asciiTheme="minorEastAsia" w:hAnsiTheme="minorEastAsia"/>
          <w:sz w:val="24"/>
          <w:szCs w:val="24"/>
        </w:rPr>
        <w:t>，按照施工图规定方式连接。管道及附件应满足《建筑给水复合管道工程技术规程》（</w:t>
      </w:r>
      <w:r>
        <w:rPr>
          <w:rFonts w:cs="Times New Roman" w:asciiTheme="minorEastAsia" w:hAnsiTheme="minorEastAsia"/>
          <w:sz w:val="24"/>
          <w:szCs w:val="24"/>
        </w:rPr>
        <w:t>CJJ/T155</w:t>
      </w:r>
      <w:r>
        <w:rPr>
          <w:rFonts w:hint="eastAsia" w:cs="Times New Roman" w:asciiTheme="minorEastAsia" w:hAnsiTheme="minorEastAsia"/>
          <w:sz w:val="24"/>
          <w:szCs w:val="24"/>
        </w:rPr>
        <w:t>）及《生活饮用水输配水设备及防护材料的安全性评价标准》（</w:t>
      </w:r>
      <w:r>
        <w:rPr>
          <w:rFonts w:cs="Times New Roman" w:asciiTheme="minorEastAsia" w:hAnsiTheme="minorEastAsia"/>
          <w:sz w:val="24"/>
          <w:szCs w:val="24"/>
        </w:rPr>
        <w:t>GB/T17219</w:t>
      </w:r>
      <w:r>
        <w:rPr>
          <w:rFonts w:hint="eastAsia" w:cs="Times New Roman" w:asciiTheme="minorEastAsia" w:hAnsiTheme="minorEastAsia"/>
          <w:sz w:val="24"/>
          <w:szCs w:val="24"/>
        </w:rPr>
        <w:t>）要求。。</w:t>
      </w:r>
    </w:p>
    <w:p w14:paraId="7D8A0E2D">
      <w:pPr>
        <w:ind w:firstLine="420" w:firstLineChars="0"/>
        <w:jc w:val="left"/>
        <w:rPr>
          <w:rFonts w:cs="Times New Roman" w:asciiTheme="minorEastAsia" w:hAnsiTheme="minorEastAsia"/>
          <w:sz w:val="24"/>
          <w:szCs w:val="24"/>
        </w:rPr>
      </w:pPr>
      <w:r>
        <w:rPr>
          <w:rFonts w:hint="eastAsia" w:cs="Times New Roman" w:asciiTheme="minorEastAsia" w:hAnsiTheme="minorEastAsia"/>
          <w:sz w:val="24"/>
          <w:szCs w:val="24"/>
        </w:rPr>
        <w:t>（3）内外壁热浸镀锌钢管选用国产优质钢管，应有钢管材质证明。热镀锌钢管外表面光滑平整，不允许有伤痕或裂纹等。不允许有镀层和涂层缺陷。</w:t>
      </w:r>
    </w:p>
    <w:p w14:paraId="06E36915">
      <w:pPr>
        <w:jc w:val="left"/>
        <w:rPr>
          <w:rFonts w:hint="eastAsia" w:cs="Times New Roman" w:asciiTheme="minorEastAsia" w:hAnsiTheme="minorEastAsia"/>
          <w:sz w:val="24"/>
          <w:szCs w:val="24"/>
        </w:rPr>
      </w:pPr>
      <w:r>
        <w:rPr>
          <w:rFonts w:hint="eastAsia" w:cs="Times New Roman" w:asciiTheme="minorEastAsia" w:hAnsiTheme="minorEastAsia"/>
          <w:sz w:val="24"/>
          <w:szCs w:val="24"/>
        </w:rPr>
        <w:t>管材不应有影响使用的弯曲，但两个端面与管轴线应垂直。管内表面不允许有气泡、裂纹、脱皮、无明显痕纹、凹陷、色泽不均及分解变色线。钢管表面镀锌均匀，内外表面镀锌层单位面积总重量不小于300g/m2且应符合GB/T3091-93的技术规格书, 镀锌钢管应做镀锌层均匀性的试验，钢管试样在硫酸铜溶液中连续浸渍5次不得变红。热镀锌钢管管件的尺寸及偏差应符合国家要求。所有管件内径应与管材内径一致，管件不得有通径损失。如管件有缩径现象，应加大一个规格型号，以确保系统的流量。</w:t>
      </w:r>
    </w:p>
    <w:p w14:paraId="6BCE8709">
      <w:pPr>
        <w:jc w:val="left"/>
        <w:rPr>
          <w:rFonts w:hint="eastAsia" w:cs="Times New Roman" w:asciiTheme="minorEastAsia" w:hAnsiTheme="minorEastAsia"/>
          <w:sz w:val="24"/>
          <w:szCs w:val="24"/>
        </w:rPr>
      </w:pPr>
      <w:r>
        <w:rPr>
          <w:rFonts w:hint="eastAsia" w:cs="Times New Roman" w:asciiTheme="minorEastAsia" w:hAnsiTheme="minorEastAsia"/>
          <w:sz w:val="24"/>
          <w:szCs w:val="24"/>
        </w:rPr>
        <w:t>内外壁热浸镀锌钢管公称压力为1.0MPa，壁厚按下表（不能出现负偏差）：</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337"/>
        <w:gridCol w:w="860"/>
        <w:gridCol w:w="880"/>
        <w:gridCol w:w="827"/>
        <w:gridCol w:w="753"/>
        <w:gridCol w:w="885"/>
        <w:gridCol w:w="854"/>
        <w:gridCol w:w="912"/>
        <w:gridCol w:w="882"/>
      </w:tblGrid>
      <w:tr w14:paraId="7E39E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337" w:type="dxa"/>
            <w:tcBorders>
              <w:top w:val="single" w:color="auto" w:sz="12" w:space="0"/>
              <w:left w:val="single" w:color="auto" w:sz="12" w:space="0"/>
              <w:bottom w:val="single" w:color="auto" w:sz="4" w:space="0"/>
              <w:right w:val="single" w:color="auto" w:sz="4" w:space="0"/>
            </w:tcBorders>
            <w:vAlign w:val="center"/>
          </w:tcPr>
          <w:p w14:paraId="44D88736">
            <w:pPr>
              <w:rPr>
                <w:rFonts w:cs="Times New Roman" w:asciiTheme="minorEastAsia" w:hAnsiTheme="minorEastAsia"/>
                <w:sz w:val="24"/>
                <w:szCs w:val="24"/>
              </w:rPr>
            </w:pPr>
            <w:r>
              <w:rPr>
                <w:rFonts w:hint="eastAsia" w:cs="Times New Roman" w:asciiTheme="minorEastAsia" w:hAnsiTheme="minorEastAsia"/>
                <w:sz w:val="24"/>
                <w:szCs w:val="24"/>
              </w:rPr>
              <w:t>公称直径（mm）</w:t>
            </w:r>
          </w:p>
        </w:tc>
        <w:tc>
          <w:tcPr>
            <w:tcW w:w="860" w:type="dxa"/>
            <w:tcBorders>
              <w:top w:val="single" w:color="auto" w:sz="12" w:space="0"/>
              <w:left w:val="single" w:color="auto" w:sz="4" w:space="0"/>
              <w:bottom w:val="single" w:color="auto" w:sz="4" w:space="0"/>
              <w:right w:val="single" w:color="auto" w:sz="4" w:space="0"/>
            </w:tcBorders>
            <w:vAlign w:val="center"/>
          </w:tcPr>
          <w:p w14:paraId="105522B8">
            <w:pPr>
              <w:rPr>
                <w:rFonts w:cs="Times New Roman" w:asciiTheme="minorEastAsia" w:hAnsiTheme="minorEastAsia"/>
                <w:sz w:val="24"/>
                <w:szCs w:val="24"/>
              </w:rPr>
            </w:pPr>
            <w:r>
              <w:rPr>
                <w:rFonts w:hint="eastAsia" w:cs="Times New Roman" w:asciiTheme="minorEastAsia" w:hAnsiTheme="minorEastAsia"/>
                <w:sz w:val="24"/>
                <w:szCs w:val="24"/>
              </w:rPr>
              <w:t>DN32</w:t>
            </w:r>
          </w:p>
        </w:tc>
        <w:tc>
          <w:tcPr>
            <w:tcW w:w="880" w:type="dxa"/>
            <w:tcBorders>
              <w:top w:val="single" w:color="auto" w:sz="12" w:space="0"/>
              <w:left w:val="single" w:color="auto" w:sz="4" w:space="0"/>
              <w:bottom w:val="single" w:color="auto" w:sz="4" w:space="0"/>
              <w:right w:val="single" w:color="auto" w:sz="4" w:space="0"/>
            </w:tcBorders>
            <w:vAlign w:val="center"/>
          </w:tcPr>
          <w:p w14:paraId="7F1E1E73">
            <w:pPr>
              <w:rPr>
                <w:rFonts w:cs="Times New Roman" w:asciiTheme="minorEastAsia" w:hAnsiTheme="minorEastAsia"/>
                <w:sz w:val="24"/>
                <w:szCs w:val="24"/>
              </w:rPr>
            </w:pPr>
            <w:r>
              <w:rPr>
                <w:rFonts w:hint="eastAsia" w:cs="Times New Roman" w:asciiTheme="minorEastAsia" w:hAnsiTheme="minorEastAsia"/>
                <w:sz w:val="24"/>
                <w:szCs w:val="24"/>
              </w:rPr>
              <w:t>DN40</w:t>
            </w:r>
          </w:p>
        </w:tc>
        <w:tc>
          <w:tcPr>
            <w:tcW w:w="827" w:type="dxa"/>
            <w:tcBorders>
              <w:top w:val="single" w:color="auto" w:sz="12" w:space="0"/>
              <w:left w:val="single" w:color="auto" w:sz="4" w:space="0"/>
              <w:bottom w:val="single" w:color="auto" w:sz="4" w:space="0"/>
              <w:right w:val="single" w:color="auto" w:sz="4" w:space="0"/>
            </w:tcBorders>
            <w:vAlign w:val="center"/>
          </w:tcPr>
          <w:p w14:paraId="347486C0">
            <w:pPr>
              <w:rPr>
                <w:rFonts w:cs="Times New Roman" w:asciiTheme="minorEastAsia" w:hAnsiTheme="minorEastAsia"/>
                <w:sz w:val="24"/>
                <w:szCs w:val="24"/>
              </w:rPr>
            </w:pPr>
            <w:r>
              <w:rPr>
                <w:rFonts w:hint="eastAsia" w:cs="Times New Roman" w:asciiTheme="minorEastAsia" w:hAnsiTheme="minorEastAsia"/>
                <w:sz w:val="24"/>
                <w:szCs w:val="24"/>
              </w:rPr>
              <w:t>DN50</w:t>
            </w:r>
          </w:p>
        </w:tc>
        <w:tc>
          <w:tcPr>
            <w:tcW w:w="753" w:type="dxa"/>
            <w:tcBorders>
              <w:top w:val="single" w:color="auto" w:sz="12" w:space="0"/>
              <w:left w:val="single" w:color="auto" w:sz="4" w:space="0"/>
              <w:bottom w:val="single" w:color="auto" w:sz="4" w:space="0"/>
              <w:right w:val="single" w:color="auto" w:sz="4" w:space="0"/>
            </w:tcBorders>
            <w:vAlign w:val="center"/>
          </w:tcPr>
          <w:p w14:paraId="19A8AADE">
            <w:pPr>
              <w:rPr>
                <w:rFonts w:cs="Times New Roman" w:asciiTheme="minorEastAsia" w:hAnsiTheme="minorEastAsia"/>
                <w:sz w:val="24"/>
                <w:szCs w:val="24"/>
              </w:rPr>
            </w:pPr>
            <w:r>
              <w:rPr>
                <w:rFonts w:hint="eastAsia" w:cs="Times New Roman" w:asciiTheme="minorEastAsia" w:hAnsiTheme="minorEastAsia"/>
                <w:sz w:val="24"/>
                <w:szCs w:val="24"/>
              </w:rPr>
              <w:t>DN65</w:t>
            </w:r>
          </w:p>
        </w:tc>
        <w:tc>
          <w:tcPr>
            <w:tcW w:w="885" w:type="dxa"/>
            <w:tcBorders>
              <w:top w:val="single" w:color="auto" w:sz="12" w:space="0"/>
              <w:left w:val="single" w:color="auto" w:sz="4" w:space="0"/>
              <w:bottom w:val="single" w:color="auto" w:sz="4" w:space="0"/>
              <w:right w:val="single" w:color="auto" w:sz="4" w:space="0"/>
            </w:tcBorders>
            <w:vAlign w:val="center"/>
          </w:tcPr>
          <w:p w14:paraId="1A15F954">
            <w:pPr>
              <w:rPr>
                <w:rFonts w:cs="Times New Roman" w:asciiTheme="minorEastAsia" w:hAnsiTheme="minorEastAsia"/>
                <w:sz w:val="24"/>
                <w:szCs w:val="24"/>
              </w:rPr>
            </w:pPr>
            <w:r>
              <w:rPr>
                <w:rFonts w:hint="eastAsia" w:cs="Times New Roman" w:asciiTheme="minorEastAsia" w:hAnsiTheme="minorEastAsia"/>
                <w:sz w:val="24"/>
                <w:szCs w:val="24"/>
              </w:rPr>
              <w:t>DN80</w:t>
            </w:r>
          </w:p>
        </w:tc>
        <w:tc>
          <w:tcPr>
            <w:tcW w:w="854" w:type="dxa"/>
            <w:tcBorders>
              <w:top w:val="single" w:color="auto" w:sz="12" w:space="0"/>
              <w:left w:val="single" w:color="auto" w:sz="4" w:space="0"/>
              <w:bottom w:val="single" w:color="auto" w:sz="4" w:space="0"/>
              <w:right w:val="single" w:color="auto" w:sz="4" w:space="0"/>
            </w:tcBorders>
            <w:vAlign w:val="center"/>
          </w:tcPr>
          <w:p w14:paraId="3E673003">
            <w:pPr>
              <w:rPr>
                <w:rFonts w:cs="Times New Roman" w:asciiTheme="minorEastAsia" w:hAnsiTheme="minorEastAsia"/>
                <w:sz w:val="24"/>
                <w:szCs w:val="24"/>
              </w:rPr>
            </w:pPr>
            <w:r>
              <w:rPr>
                <w:rFonts w:hint="eastAsia" w:cs="Times New Roman" w:asciiTheme="minorEastAsia" w:hAnsiTheme="minorEastAsia"/>
                <w:sz w:val="24"/>
                <w:szCs w:val="24"/>
              </w:rPr>
              <w:t>DN100</w:t>
            </w:r>
          </w:p>
        </w:tc>
        <w:tc>
          <w:tcPr>
            <w:tcW w:w="912" w:type="dxa"/>
            <w:tcBorders>
              <w:top w:val="single" w:color="auto" w:sz="12" w:space="0"/>
              <w:left w:val="single" w:color="auto" w:sz="4" w:space="0"/>
              <w:bottom w:val="single" w:color="auto" w:sz="4" w:space="0"/>
              <w:right w:val="single" w:color="auto" w:sz="4" w:space="0"/>
            </w:tcBorders>
            <w:vAlign w:val="center"/>
          </w:tcPr>
          <w:p w14:paraId="617643F7">
            <w:pPr>
              <w:rPr>
                <w:rFonts w:cs="Times New Roman" w:asciiTheme="minorEastAsia" w:hAnsiTheme="minorEastAsia"/>
                <w:sz w:val="24"/>
                <w:szCs w:val="24"/>
              </w:rPr>
            </w:pPr>
            <w:r>
              <w:rPr>
                <w:rFonts w:hint="eastAsia" w:cs="Times New Roman" w:asciiTheme="minorEastAsia" w:hAnsiTheme="minorEastAsia"/>
                <w:sz w:val="24"/>
                <w:szCs w:val="24"/>
              </w:rPr>
              <w:t>DN125</w:t>
            </w:r>
          </w:p>
        </w:tc>
        <w:tc>
          <w:tcPr>
            <w:tcW w:w="882" w:type="dxa"/>
            <w:tcBorders>
              <w:top w:val="single" w:color="auto" w:sz="12" w:space="0"/>
              <w:left w:val="single" w:color="auto" w:sz="4" w:space="0"/>
              <w:bottom w:val="single" w:color="auto" w:sz="4" w:space="0"/>
              <w:right w:val="single" w:color="auto" w:sz="12" w:space="0"/>
            </w:tcBorders>
            <w:vAlign w:val="center"/>
          </w:tcPr>
          <w:p w14:paraId="6BFAAF77">
            <w:pPr>
              <w:rPr>
                <w:rFonts w:cs="Times New Roman" w:asciiTheme="minorEastAsia" w:hAnsiTheme="minorEastAsia"/>
                <w:sz w:val="24"/>
                <w:szCs w:val="24"/>
              </w:rPr>
            </w:pPr>
            <w:r>
              <w:rPr>
                <w:rFonts w:hint="eastAsia" w:cs="Times New Roman" w:asciiTheme="minorEastAsia" w:hAnsiTheme="minorEastAsia"/>
                <w:sz w:val="24"/>
                <w:szCs w:val="24"/>
              </w:rPr>
              <w:t>DN150</w:t>
            </w:r>
          </w:p>
        </w:tc>
      </w:tr>
      <w:tr w14:paraId="479FA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337" w:type="dxa"/>
            <w:tcBorders>
              <w:top w:val="single" w:color="auto" w:sz="4" w:space="0"/>
              <w:left w:val="single" w:color="auto" w:sz="12" w:space="0"/>
              <w:bottom w:val="single" w:color="auto" w:sz="4" w:space="0"/>
              <w:right w:val="single" w:color="auto" w:sz="4" w:space="0"/>
            </w:tcBorders>
            <w:vAlign w:val="center"/>
          </w:tcPr>
          <w:p w14:paraId="614D1853">
            <w:pPr>
              <w:rPr>
                <w:rFonts w:cs="Times New Roman" w:asciiTheme="minorEastAsia" w:hAnsiTheme="minorEastAsia"/>
                <w:sz w:val="24"/>
                <w:szCs w:val="24"/>
              </w:rPr>
            </w:pPr>
            <w:r>
              <w:rPr>
                <w:rFonts w:hint="eastAsia" w:cs="Times New Roman" w:asciiTheme="minorEastAsia" w:hAnsiTheme="minorEastAsia"/>
                <w:sz w:val="24"/>
                <w:szCs w:val="24"/>
              </w:rPr>
              <w:t>外径（mm）</w:t>
            </w:r>
          </w:p>
        </w:tc>
        <w:tc>
          <w:tcPr>
            <w:tcW w:w="860" w:type="dxa"/>
            <w:tcBorders>
              <w:top w:val="single" w:color="auto" w:sz="4" w:space="0"/>
              <w:left w:val="single" w:color="auto" w:sz="4" w:space="0"/>
              <w:bottom w:val="single" w:color="auto" w:sz="4" w:space="0"/>
              <w:right w:val="single" w:color="auto" w:sz="4" w:space="0"/>
            </w:tcBorders>
            <w:vAlign w:val="center"/>
          </w:tcPr>
          <w:p w14:paraId="6B2A7DB6">
            <w:pPr>
              <w:rPr>
                <w:rFonts w:cs="Times New Roman" w:asciiTheme="minorEastAsia" w:hAnsiTheme="minorEastAsia"/>
                <w:sz w:val="24"/>
                <w:szCs w:val="24"/>
              </w:rPr>
            </w:pPr>
            <w:r>
              <w:rPr>
                <w:rFonts w:hint="eastAsia" w:cs="Times New Roman" w:asciiTheme="minorEastAsia" w:hAnsiTheme="minorEastAsia"/>
                <w:sz w:val="24"/>
                <w:szCs w:val="24"/>
              </w:rPr>
              <w:t>38</w:t>
            </w:r>
          </w:p>
        </w:tc>
        <w:tc>
          <w:tcPr>
            <w:tcW w:w="880" w:type="dxa"/>
            <w:tcBorders>
              <w:top w:val="single" w:color="auto" w:sz="4" w:space="0"/>
              <w:left w:val="single" w:color="auto" w:sz="4" w:space="0"/>
              <w:bottom w:val="single" w:color="auto" w:sz="4" w:space="0"/>
              <w:right w:val="single" w:color="auto" w:sz="4" w:space="0"/>
            </w:tcBorders>
            <w:vAlign w:val="center"/>
          </w:tcPr>
          <w:p w14:paraId="71A8EDF4">
            <w:pPr>
              <w:rPr>
                <w:rFonts w:cs="Times New Roman" w:asciiTheme="minorEastAsia" w:hAnsiTheme="minorEastAsia"/>
                <w:sz w:val="24"/>
                <w:szCs w:val="24"/>
              </w:rPr>
            </w:pPr>
            <w:r>
              <w:rPr>
                <w:rFonts w:hint="eastAsia" w:cs="Times New Roman" w:asciiTheme="minorEastAsia" w:hAnsiTheme="minorEastAsia"/>
                <w:sz w:val="24"/>
                <w:szCs w:val="24"/>
              </w:rPr>
              <w:t>45</w:t>
            </w:r>
          </w:p>
        </w:tc>
        <w:tc>
          <w:tcPr>
            <w:tcW w:w="827" w:type="dxa"/>
            <w:tcBorders>
              <w:top w:val="single" w:color="auto" w:sz="4" w:space="0"/>
              <w:left w:val="single" w:color="auto" w:sz="4" w:space="0"/>
              <w:bottom w:val="single" w:color="auto" w:sz="4" w:space="0"/>
              <w:right w:val="single" w:color="auto" w:sz="4" w:space="0"/>
            </w:tcBorders>
            <w:vAlign w:val="center"/>
          </w:tcPr>
          <w:p w14:paraId="41F16C27">
            <w:pPr>
              <w:rPr>
                <w:rFonts w:cs="Times New Roman" w:asciiTheme="minorEastAsia" w:hAnsiTheme="minorEastAsia"/>
                <w:sz w:val="24"/>
                <w:szCs w:val="24"/>
              </w:rPr>
            </w:pPr>
            <w:r>
              <w:rPr>
                <w:rFonts w:hint="eastAsia" w:cs="Times New Roman" w:asciiTheme="minorEastAsia" w:hAnsiTheme="minorEastAsia"/>
                <w:sz w:val="24"/>
                <w:szCs w:val="24"/>
              </w:rPr>
              <w:t>57</w:t>
            </w:r>
          </w:p>
        </w:tc>
        <w:tc>
          <w:tcPr>
            <w:tcW w:w="753" w:type="dxa"/>
            <w:tcBorders>
              <w:top w:val="single" w:color="auto" w:sz="4" w:space="0"/>
              <w:left w:val="single" w:color="auto" w:sz="4" w:space="0"/>
              <w:bottom w:val="single" w:color="auto" w:sz="4" w:space="0"/>
              <w:right w:val="single" w:color="auto" w:sz="4" w:space="0"/>
            </w:tcBorders>
            <w:vAlign w:val="center"/>
          </w:tcPr>
          <w:p w14:paraId="07B2FD1F">
            <w:pPr>
              <w:rPr>
                <w:rFonts w:cs="Times New Roman" w:asciiTheme="minorEastAsia" w:hAnsiTheme="minorEastAsia"/>
                <w:sz w:val="24"/>
                <w:szCs w:val="24"/>
              </w:rPr>
            </w:pPr>
            <w:r>
              <w:rPr>
                <w:rFonts w:hint="eastAsia" w:cs="Times New Roman" w:asciiTheme="minorEastAsia" w:hAnsiTheme="minorEastAsia"/>
                <w:sz w:val="24"/>
                <w:szCs w:val="24"/>
              </w:rPr>
              <w:t>76</w:t>
            </w:r>
          </w:p>
        </w:tc>
        <w:tc>
          <w:tcPr>
            <w:tcW w:w="885" w:type="dxa"/>
            <w:tcBorders>
              <w:top w:val="single" w:color="auto" w:sz="4" w:space="0"/>
              <w:left w:val="single" w:color="auto" w:sz="4" w:space="0"/>
              <w:bottom w:val="single" w:color="auto" w:sz="4" w:space="0"/>
              <w:right w:val="single" w:color="auto" w:sz="4" w:space="0"/>
            </w:tcBorders>
            <w:vAlign w:val="center"/>
          </w:tcPr>
          <w:p w14:paraId="3CD79FC4">
            <w:pPr>
              <w:rPr>
                <w:rFonts w:cs="Times New Roman" w:asciiTheme="minorEastAsia" w:hAnsiTheme="minorEastAsia"/>
                <w:sz w:val="24"/>
                <w:szCs w:val="24"/>
              </w:rPr>
            </w:pPr>
            <w:r>
              <w:rPr>
                <w:rFonts w:hint="eastAsia" w:cs="Times New Roman" w:asciiTheme="minorEastAsia" w:hAnsiTheme="minorEastAsia"/>
                <w:sz w:val="24"/>
                <w:szCs w:val="24"/>
              </w:rPr>
              <w:t>89</w:t>
            </w:r>
          </w:p>
        </w:tc>
        <w:tc>
          <w:tcPr>
            <w:tcW w:w="854" w:type="dxa"/>
            <w:tcBorders>
              <w:top w:val="single" w:color="auto" w:sz="4" w:space="0"/>
              <w:left w:val="single" w:color="auto" w:sz="4" w:space="0"/>
              <w:bottom w:val="single" w:color="auto" w:sz="4" w:space="0"/>
              <w:right w:val="single" w:color="auto" w:sz="4" w:space="0"/>
            </w:tcBorders>
            <w:vAlign w:val="center"/>
          </w:tcPr>
          <w:p w14:paraId="6E1F3FC3">
            <w:pPr>
              <w:rPr>
                <w:rFonts w:cs="Times New Roman" w:asciiTheme="minorEastAsia" w:hAnsiTheme="minorEastAsia"/>
                <w:sz w:val="24"/>
                <w:szCs w:val="24"/>
              </w:rPr>
            </w:pPr>
            <w:r>
              <w:rPr>
                <w:rFonts w:hint="eastAsia" w:cs="Times New Roman" w:asciiTheme="minorEastAsia" w:hAnsiTheme="minorEastAsia"/>
                <w:sz w:val="24"/>
                <w:szCs w:val="24"/>
              </w:rPr>
              <w:t>108</w:t>
            </w:r>
          </w:p>
        </w:tc>
        <w:tc>
          <w:tcPr>
            <w:tcW w:w="912" w:type="dxa"/>
            <w:tcBorders>
              <w:top w:val="single" w:color="auto" w:sz="4" w:space="0"/>
              <w:left w:val="single" w:color="auto" w:sz="4" w:space="0"/>
              <w:bottom w:val="single" w:color="auto" w:sz="4" w:space="0"/>
              <w:right w:val="single" w:color="auto" w:sz="4" w:space="0"/>
            </w:tcBorders>
            <w:vAlign w:val="center"/>
          </w:tcPr>
          <w:p w14:paraId="03925D25">
            <w:pPr>
              <w:rPr>
                <w:rFonts w:cs="Times New Roman" w:asciiTheme="minorEastAsia" w:hAnsiTheme="minorEastAsia"/>
                <w:sz w:val="24"/>
                <w:szCs w:val="24"/>
              </w:rPr>
            </w:pPr>
            <w:r>
              <w:rPr>
                <w:rFonts w:hint="eastAsia" w:cs="Times New Roman" w:asciiTheme="minorEastAsia" w:hAnsiTheme="minorEastAsia"/>
                <w:sz w:val="24"/>
                <w:szCs w:val="24"/>
              </w:rPr>
              <w:t>133</w:t>
            </w:r>
          </w:p>
        </w:tc>
        <w:tc>
          <w:tcPr>
            <w:tcW w:w="882" w:type="dxa"/>
            <w:tcBorders>
              <w:top w:val="single" w:color="auto" w:sz="4" w:space="0"/>
              <w:left w:val="single" w:color="auto" w:sz="4" w:space="0"/>
              <w:bottom w:val="single" w:color="auto" w:sz="4" w:space="0"/>
              <w:right w:val="single" w:color="auto" w:sz="12" w:space="0"/>
            </w:tcBorders>
            <w:vAlign w:val="center"/>
          </w:tcPr>
          <w:p w14:paraId="6D840E2E">
            <w:pPr>
              <w:rPr>
                <w:rFonts w:cs="Times New Roman" w:asciiTheme="minorEastAsia" w:hAnsiTheme="minorEastAsia"/>
                <w:sz w:val="24"/>
                <w:szCs w:val="24"/>
              </w:rPr>
            </w:pPr>
            <w:r>
              <w:rPr>
                <w:rFonts w:hint="eastAsia" w:cs="Times New Roman" w:asciiTheme="minorEastAsia" w:hAnsiTheme="minorEastAsia"/>
                <w:sz w:val="24"/>
                <w:szCs w:val="24"/>
              </w:rPr>
              <w:t>159</w:t>
            </w:r>
          </w:p>
        </w:tc>
      </w:tr>
      <w:tr w14:paraId="1DAA4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337" w:type="dxa"/>
            <w:tcBorders>
              <w:top w:val="single" w:color="auto" w:sz="4" w:space="0"/>
              <w:left w:val="single" w:color="auto" w:sz="12" w:space="0"/>
              <w:bottom w:val="single" w:color="auto" w:sz="12" w:space="0"/>
              <w:right w:val="single" w:color="auto" w:sz="4" w:space="0"/>
            </w:tcBorders>
            <w:vAlign w:val="center"/>
          </w:tcPr>
          <w:p w14:paraId="3137A796">
            <w:pPr>
              <w:rPr>
                <w:rFonts w:cs="Times New Roman" w:asciiTheme="minorEastAsia" w:hAnsiTheme="minorEastAsia"/>
                <w:sz w:val="24"/>
                <w:szCs w:val="24"/>
              </w:rPr>
            </w:pPr>
            <w:r>
              <w:rPr>
                <w:rFonts w:hint="eastAsia" w:cs="Times New Roman" w:asciiTheme="minorEastAsia" w:hAnsiTheme="minorEastAsia"/>
                <w:sz w:val="24"/>
                <w:szCs w:val="24"/>
              </w:rPr>
              <w:t>壁厚（mm）</w:t>
            </w:r>
          </w:p>
        </w:tc>
        <w:tc>
          <w:tcPr>
            <w:tcW w:w="860" w:type="dxa"/>
            <w:tcBorders>
              <w:top w:val="single" w:color="auto" w:sz="4" w:space="0"/>
              <w:left w:val="single" w:color="auto" w:sz="4" w:space="0"/>
              <w:bottom w:val="single" w:color="auto" w:sz="12" w:space="0"/>
              <w:right w:val="single" w:color="auto" w:sz="4" w:space="0"/>
            </w:tcBorders>
            <w:vAlign w:val="center"/>
          </w:tcPr>
          <w:p w14:paraId="2B9C44ED">
            <w:pPr>
              <w:rPr>
                <w:rFonts w:cs="Times New Roman" w:asciiTheme="minorEastAsia" w:hAnsiTheme="minorEastAsia"/>
                <w:sz w:val="24"/>
                <w:szCs w:val="24"/>
              </w:rPr>
            </w:pPr>
            <w:r>
              <w:rPr>
                <w:rFonts w:hint="eastAsia" w:cs="Times New Roman" w:asciiTheme="minorEastAsia" w:hAnsiTheme="minorEastAsia"/>
                <w:sz w:val="24"/>
                <w:szCs w:val="24"/>
              </w:rPr>
              <w:t>3.0</w:t>
            </w:r>
          </w:p>
        </w:tc>
        <w:tc>
          <w:tcPr>
            <w:tcW w:w="880" w:type="dxa"/>
            <w:tcBorders>
              <w:top w:val="single" w:color="auto" w:sz="4" w:space="0"/>
              <w:left w:val="single" w:color="auto" w:sz="4" w:space="0"/>
              <w:bottom w:val="single" w:color="auto" w:sz="12" w:space="0"/>
              <w:right w:val="single" w:color="auto" w:sz="4" w:space="0"/>
            </w:tcBorders>
            <w:vAlign w:val="center"/>
          </w:tcPr>
          <w:p w14:paraId="2219FFBD">
            <w:pPr>
              <w:rPr>
                <w:rFonts w:cs="Times New Roman" w:asciiTheme="minorEastAsia" w:hAnsiTheme="minorEastAsia"/>
                <w:sz w:val="24"/>
                <w:szCs w:val="24"/>
              </w:rPr>
            </w:pPr>
            <w:r>
              <w:rPr>
                <w:rFonts w:hint="eastAsia" w:cs="Times New Roman" w:asciiTheme="minorEastAsia" w:hAnsiTheme="minorEastAsia"/>
                <w:sz w:val="24"/>
                <w:szCs w:val="24"/>
              </w:rPr>
              <w:t>3.0</w:t>
            </w:r>
          </w:p>
        </w:tc>
        <w:tc>
          <w:tcPr>
            <w:tcW w:w="827" w:type="dxa"/>
            <w:tcBorders>
              <w:top w:val="single" w:color="auto" w:sz="4" w:space="0"/>
              <w:left w:val="single" w:color="auto" w:sz="4" w:space="0"/>
              <w:bottom w:val="single" w:color="auto" w:sz="12" w:space="0"/>
              <w:right w:val="single" w:color="auto" w:sz="4" w:space="0"/>
            </w:tcBorders>
            <w:vAlign w:val="center"/>
          </w:tcPr>
          <w:p w14:paraId="18958CF6">
            <w:pPr>
              <w:rPr>
                <w:rFonts w:cs="Times New Roman" w:asciiTheme="minorEastAsia" w:hAnsiTheme="minorEastAsia"/>
                <w:sz w:val="24"/>
                <w:szCs w:val="24"/>
              </w:rPr>
            </w:pPr>
            <w:r>
              <w:rPr>
                <w:rFonts w:hint="eastAsia" w:cs="Times New Roman" w:asciiTheme="minorEastAsia" w:hAnsiTheme="minorEastAsia"/>
                <w:sz w:val="24"/>
                <w:szCs w:val="24"/>
              </w:rPr>
              <w:t>3.0</w:t>
            </w:r>
          </w:p>
        </w:tc>
        <w:tc>
          <w:tcPr>
            <w:tcW w:w="753" w:type="dxa"/>
            <w:tcBorders>
              <w:top w:val="single" w:color="auto" w:sz="4" w:space="0"/>
              <w:left w:val="single" w:color="auto" w:sz="4" w:space="0"/>
              <w:bottom w:val="single" w:color="auto" w:sz="12" w:space="0"/>
              <w:right w:val="single" w:color="auto" w:sz="4" w:space="0"/>
            </w:tcBorders>
            <w:vAlign w:val="center"/>
          </w:tcPr>
          <w:p w14:paraId="212ABF35">
            <w:pPr>
              <w:rPr>
                <w:rFonts w:cs="Times New Roman" w:asciiTheme="minorEastAsia" w:hAnsiTheme="minorEastAsia"/>
                <w:sz w:val="24"/>
                <w:szCs w:val="24"/>
              </w:rPr>
            </w:pPr>
            <w:r>
              <w:rPr>
                <w:rFonts w:hint="eastAsia" w:cs="Times New Roman" w:asciiTheme="minorEastAsia" w:hAnsiTheme="minorEastAsia"/>
                <w:sz w:val="24"/>
                <w:szCs w:val="24"/>
              </w:rPr>
              <w:t>3.0</w:t>
            </w:r>
          </w:p>
        </w:tc>
        <w:tc>
          <w:tcPr>
            <w:tcW w:w="885" w:type="dxa"/>
            <w:tcBorders>
              <w:top w:val="single" w:color="auto" w:sz="4" w:space="0"/>
              <w:left w:val="single" w:color="auto" w:sz="4" w:space="0"/>
              <w:bottom w:val="single" w:color="auto" w:sz="12" w:space="0"/>
              <w:right w:val="single" w:color="auto" w:sz="4" w:space="0"/>
            </w:tcBorders>
            <w:vAlign w:val="center"/>
          </w:tcPr>
          <w:p w14:paraId="08F0C729">
            <w:pPr>
              <w:rPr>
                <w:rFonts w:cs="Times New Roman" w:asciiTheme="minorEastAsia" w:hAnsiTheme="minorEastAsia"/>
                <w:sz w:val="24"/>
                <w:szCs w:val="24"/>
              </w:rPr>
            </w:pPr>
            <w:r>
              <w:rPr>
                <w:rFonts w:hint="eastAsia" w:cs="Times New Roman" w:asciiTheme="minorEastAsia" w:hAnsiTheme="minorEastAsia"/>
                <w:sz w:val="24"/>
                <w:szCs w:val="24"/>
              </w:rPr>
              <w:t>3.0</w:t>
            </w:r>
          </w:p>
        </w:tc>
        <w:tc>
          <w:tcPr>
            <w:tcW w:w="854" w:type="dxa"/>
            <w:tcBorders>
              <w:top w:val="single" w:color="auto" w:sz="4" w:space="0"/>
              <w:left w:val="single" w:color="auto" w:sz="4" w:space="0"/>
              <w:bottom w:val="single" w:color="auto" w:sz="12" w:space="0"/>
              <w:right w:val="single" w:color="auto" w:sz="4" w:space="0"/>
            </w:tcBorders>
            <w:vAlign w:val="center"/>
          </w:tcPr>
          <w:p w14:paraId="4EEFA523">
            <w:pPr>
              <w:rPr>
                <w:rFonts w:cs="Times New Roman" w:asciiTheme="minorEastAsia" w:hAnsiTheme="minorEastAsia"/>
                <w:sz w:val="24"/>
                <w:szCs w:val="24"/>
              </w:rPr>
            </w:pPr>
            <w:r>
              <w:rPr>
                <w:rFonts w:hint="eastAsia" w:cs="Times New Roman" w:asciiTheme="minorEastAsia" w:hAnsiTheme="minorEastAsia"/>
                <w:sz w:val="24"/>
                <w:szCs w:val="24"/>
              </w:rPr>
              <w:t>4.0</w:t>
            </w:r>
          </w:p>
        </w:tc>
        <w:tc>
          <w:tcPr>
            <w:tcW w:w="912" w:type="dxa"/>
            <w:tcBorders>
              <w:top w:val="single" w:color="auto" w:sz="4" w:space="0"/>
              <w:left w:val="single" w:color="auto" w:sz="4" w:space="0"/>
              <w:bottom w:val="single" w:color="auto" w:sz="12" w:space="0"/>
              <w:right w:val="single" w:color="auto" w:sz="4" w:space="0"/>
            </w:tcBorders>
            <w:vAlign w:val="center"/>
          </w:tcPr>
          <w:p w14:paraId="4913ED5D">
            <w:pPr>
              <w:rPr>
                <w:rFonts w:cs="Times New Roman" w:asciiTheme="minorEastAsia" w:hAnsiTheme="minorEastAsia"/>
                <w:sz w:val="24"/>
                <w:szCs w:val="24"/>
              </w:rPr>
            </w:pPr>
            <w:r>
              <w:rPr>
                <w:rFonts w:hint="eastAsia" w:cs="Times New Roman" w:asciiTheme="minorEastAsia" w:hAnsiTheme="minorEastAsia"/>
                <w:sz w:val="24"/>
                <w:szCs w:val="24"/>
              </w:rPr>
              <w:t>4.0</w:t>
            </w:r>
          </w:p>
        </w:tc>
        <w:tc>
          <w:tcPr>
            <w:tcW w:w="882" w:type="dxa"/>
            <w:tcBorders>
              <w:top w:val="single" w:color="auto" w:sz="4" w:space="0"/>
              <w:left w:val="single" w:color="auto" w:sz="4" w:space="0"/>
              <w:bottom w:val="single" w:color="auto" w:sz="12" w:space="0"/>
              <w:right w:val="single" w:color="auto" w:sz="12" w:space="0"/>
            </w:tcBorders>
            <w:vAlign w:val="center"/>
          </w:tcPr>
          <w:p w14:paraId="3087B649">
            <w:pPr>
              <w:rPr>
                <w:rFonts w:cs="Times New Roman" w:asciiTheme="minorEastAsia" w:hAnsiTheme="minorEastAsia"/>
                <w:sz w:val="24"/>
                <w:szCs w:val="24"/>
              </w:rPr>
            </w:pPr>
            <w:r>
              <w:rPr>
                <w:rFonts w:hint="eastAsia" w:cs="Times New Roman" w:asciiTheme="minorEastAsia" w:hAnsiTheme="minorEastAsia"/>
                <w:sz w:val="24"/>
                <w:szCs w:val="24"/>
              </w:rPr>
              <w:t>4.0</w:t>
            </w:r>
          </w:p>
        </w:tc>
      </w:tr>
    </w:tbl>
    <w:p w14:paraId="49C8984E">
      <w:pPr>
        <w:rPr>
          <w:rFonts w:hint="eastAsia" w:cs="Times New Roman" w:asciiTheme="minorEastAsia" w:hAnsiTheme="minorEastAsia"/>
          <w:sz w:val="24"/>
          <w:szCs w:val="24"/>
        </w:rPr>
      </w:pPr>
    </w:p>
    <w:p w14:paraId="58C8A2C4">
      <w:pPr>
        <w:ind w:firstLine="420" w:firstLineChars="0"/>
        <w:rPr>
          <w:rFonts w:hint="eastAsia" w:cs="Times New Roman" w:asciiTheme="minorEastAsia" w:hAnsiTheme="minorEastAsia"/>
          <w:sz w:val="24"/>
          <w:szCs w:val="24"/>
        </w:rPr>
      </w:pPr>
      <w:r>
        <w:rPr>
          <w:rFonts w:hint="eastAsia" w:cs="Times New Roman" w:asciiTheme="minorEastAsia" w:hAnsiTheme="minorEastAsia"/>
          <w:sz w:val="24"/>
          <w:szCs w:val="24"/>
        </w:rPr>
        <w:t>（4）硬聚氯乙烯排水管，其管材和管件应在同一批中抽样进行外观、规格尺寸和管材与管件配合公差检查，当达不到规定的质量标准并与生产单位有异议时，应按硬聚氯乙烯、聚乙烯的管材和管件产品标准的规定进行复检。管材的物理性能、胶粘剂和橡胶件的要求不低于《建筑排水塑料管道工程技术规程》（CJJ/T29）要求。</w:t>
      </w:r>
    </w:p>
    <w:p w14:paraId="0FC79DAB">
      <w:pPr>
        <w:ind w:firstLine="420" w:firstLineChars="0"/>
        <w:rPr>
          <w:rFonts w:hint="eastAsia" w:cs="Times New Roman" w:asciiTheme="minorEastAsia" w:hAnsiTheme="minorEastAsia"/>
          <w:sz w:val="24"/>
          <w:szCs w:val="24"/>
        </w:rPr>
      </w:pPr>
      <w:r>
        <w:rPr>
          <w:rFonts w:hint="eastAsia" w:cs="Times New Roman" w:asciiTheme="minorEastAsia" w:hAnsiTheme="minorEastAsia"/>
          <w:sz w:val="24"/>
          <w:szCs w:val="24"/>
        </w:rPr>
        <w:t>（5）室外埋地HDPE双壁波纹管,环刚度不小于10KN/m（环刚度不能满足要求时，应采用钢带增强管），弹性橡胶密封柔性接口,详见04S520。管材选择应符合招标文件及国标《埋地用聚乙烯（PE）结构壁管道系统 第一部分：聚乙烯双壁波纹管材》(GB/T19472.1-2019)的有关要求;管材施工时，根据管道埋深，管材选择应符合国标图集《埋地塑料排水管道施工》04S520。</w:t>
      </w:r>
    </w:p>
    <w:p w14:paraId="77F81B7A">
      <w:pPr>
        <w:ind w:firstLine="420" w:firstLineChars="0"/>
        <w:rPr>
          <w:rFonts w:hint="eastAsia" w:cs="Times New Roman" w:asciiTheme="minorEastAsia" w:hAnsiTheme="minorEastAsia"/>
          <w:sz w:val="24"/>
          <w:szCs w:val="24"/>
        </w:rPr>
      </w:pPr>
      <w:r>
        <w:rPr>
          <w:rFonts w:hint="eastAsia" w:cs="Times New Roman" w:asciiTheme="minorEastAsia" w:hAnsiTheme="minorEastAsia"/>
          <w:sz w:val="24"/>
          <w:szCs w:val="24"/>
        </w:rPr>
        <w:t>（6）球墨给水铸铁管：</w:t>
      </w:r>
    </w:p>
    <w:p w14:paraId="6432B209">
      <w:pPr>
        <w:ind w:firstLine="420" w:firstLineChars="0"/>
        <w:rPr>
          <w:rFonts w:hint="eastAsia" w:cs="Times New Roman" w:asciiTheme="minorEastAsia" w:hAnsiTheme="minorEastAsia"/>
          <w:sz w:val="24"/>
          <w:szCs w:val="24"/>
        </w:rPr>
      </w:pPr>
      <w:r>
        <w:rPr>
          <w:rFonts w:hint="eastAsia" w:cs="Times New Roman" w:asciiTheme="minorEastAsia" w:hAnsiTheme="minorEastAsia"/>
          <w:sz w:val="24"/>
          <w:szCs w:val="24"/>
        </w:rPr>
        <w:t>包含满足相关规程、规范和使用要求的管材、管件、附件及密封胶圈。管道承压1.6Mpa。球墨铸铁管的材质应为铁素体的球墨铸铁，在组织中应有大部分或全部分的球状石墨。采用离心球墨铸铁管，管道长度为DN50~DN150，单管长度6米（或4米），T型滑入型承插接口，管道、管件及附件不低于K9级。尺寸及允许偏差、接口尺寸、长度及重量、管件长度、壁厚、密封性等满足GB/T13925-2008相关要求。</w:t>
      </w:r>
    </w:p>
    <w:p w14:paraId="1F58444F">
      <w:pPr>
        <w:ind w:firstLine="420" w:firstLineChars="0"/>
        <w:rPr>
          <w:rFonts w:hint="eastAsia" w:asciiTheme="minorEastAsia" w:hAnsiTheme="minorEastAsia"/>
          <w:sz w:val="24"/>
          <w:szCs w:val="24"/>
        </w:rPr>
      </w:pPr>
      <w:r>
        <w:rPr>
          <w:rFonts w:hint="eastAsia" w:asciiTheme="minorEastAsia" w:hAnsiTheme="minorEastAsia"/>
          <w:sz w:val="24"/>
          <w:szCs w:val="24"/>
        </w:rPr>
        <w:t>4强电设备采购及安装工程</w:t>
      </w:r>
    </w:p>
    <w:p w14:paraId="1C2443BA">
      <w:pPr>
        <w:ind w:firstLine="420" w:firstLineChars="0"/>
        <w:rPr>
          <w:rFonts w:hint="eastAsia" w:asciiTheme="minorEastAsia" w:hAnsiTheme="minorEastAsia"/>
          <w:sz w:val="24"/>
          <w:szCs w:val="24"/>
        </w:rPr>
      </w:pPr>
      <w:r>
        <w:rPr>
          <w:rFonts w:hint="eastAsia" w:asciiTheme="minorEastAsia" w:hAnsiTheme="minorEastAsia"/>
          <w:sz w:val="24"/>
          <w:szCs w:val="24"/>
        </w:rPr>
        <w:t>4.1一般规定</w:t>
      </w:r>
    </w:p>
    <w:p w14:paraId="2E5F5ACC">
      <w:pPr>
        <w:ind w:firstLine="420" w:firstLineChars="0"/>
        <w:rPr>
          <w:rFonts w:hint="eastAsia" w:asciiTheme="minorEastAsia" w:hAnsiTheme="minorEastAsia"/>
          <w:sz w:val="24"/>
          <w:szCs w:val="24"/>
        </w:rPr>
      </w:pPr>
      <w:r>
        <w:rPr>
          <w:rFonts w:hint="eastAsia" w:asciiTheme="minorEastAsia" w:hAnsiTheme="minorEastAsia"/>
          <w:sz w:val="24"/>
          <w:szCs w:val="24"/>
        </w:rPr>
        <w:t>1）承包人应负责本工程永久机电设备的采购、安装及调试工作。包括0.4kV低压开关柜（含安装及调试）、0.4kV低压母线槽（含安装及调试）、低压配电柜、低压配电箱、照明系统、应急照明系统、防雷接地系统、电缆线路、电缆桥架及其支架等设备的采购、设备到达工地的卸车、开箱验收、保管、仓储、二次运输、安装、埋设、分部调试试验、试运行、消缺直至移交给发包人的全部工作。其工程项目包括（但不限于）：</w:t>
      </w:r>
    </w:p>
    <w:p w14:paraId="747998B5">
      <w:pPr>
        <w:ind w:firstLine="420" w:firstLineChars="0"/>
        <w:rPr>
          <w:rFonts w:hint="eastAsia" w:asciiTheme="minorEastAsia" w:hAnsiTheme="minorEastAsia"/>
          <w:sz w:val="24"/>
          <w:szCs w:val="24"/>
        </w:rPr>
      </w:pPr>
      <w:r>
        <w:rPr>
          <w:rFonts w:hint="eastAsia" w:asciiTheme="minorEastAsia" w:hAnsiTheme="minorEastAsia"/>
          <w:sz w:val="24"/>
          <w:szCs w:val="24"/>
        </w:rPr>
        <w:t>① 本工程0.4kV供配电系统。</w:t>
      </w:r>
    </w:p>
    <w:p w14:paraId="18E4CD7E">
      <w:pPr>
        <w:ind w:firstLine="420" w:firstLineChars="0"/>
        <w:rPr>
          <w:rFonts w:hint="eastAsia" w:asciiTheme="minorEastAsia" w:hAnsiTheme="minorEastAsia"/>
          <w:sz w:val="24"/>
          <w:szCs w:val="24"/>
        </w:rPr>
      </w:pPr>
      <w:r>
        <w:rPr>
          <w:rFonts w:hint="eastAsia" w:asciiTheme="minorEastAsia" w:hAnsiTheme="minorEastAsia"/>
          <w:sz w:val="24"/>
          <w:szCs w:val="24"/>
        </w:rPr>
        <w:t>② 本工程照明系统、应急照明系统。</w:t>
      </w:r>
    </w:p>
    <w:p w14:paraId="1206B285">
      <w:pPr>
        <w:ind w:firstLine="420" w:firstLineChars="0"/>
        <w:rPr>
          <w:rFonts w:hint="eastAsia" w:asciiTheme="minorEastAsia" w:hAnsiTheme="minorEastAsia"/>
          <w:sz w:val="24"/>
          <w:szCs w:val="24"/>
        </w:rPr>
      </w:pPr>
      <w:r>
        <w:rPr>
          <w:rFonts w:hint="eastAsia" w:asciiTheme="minorEastAsia" w:hAnsiTheme="minorEastAsia"/>
          <w:sz w:val="24"/>
          <w:szCs w:val="24"/>
        </w:rPr>
        <w:t>③ 本工程防雷及接地系统（含设备接地）。</w:t>
      </w:r>
    </w:p>
    <w:p w14:paraId="1736D609">
      <w:pPr>
        <w:ind w:firstLine="420" w:firstLineChars="0"/>
        <w:rPr>
          <w:rFonts w:hint="eastAsia" w:asciiTheme="minorEastAsia" w:hAnsiTheme="minorEastAsia"/>
          <w:sz w:val="24"/>
          <w:szCs w:val="24"/>
        </w:rPr>
      </w:pPr>
      <w:r>
        <w:rPr>
          <w:rFonts w:hint="eastAsia" w:asciiTheme="minorEastAsia" w:hAnsiTheme="minorEastAsia"/>
          <w:sz w:val="24"/>
          <w:szCs w:val="24"/>
        </w:rPr>
        <w:t>④ 本工程动力电缆敷设、电缆桥架及其支吊架以及孔洞防火封堵措施等。</w:t>
      </w:r>
    </w:p>
    <w:p w14:paraId="690AAD93">
      <w:pPr>
        <w:ind w:firstLine="420" w:firstLineChars="0"/>
        <w:rPr>
          <w:rFonts w:hint="eastAsia" w:asciiTheme="minorEastAsia" w:hAnsiTheme="minorEastAsia"/>
          <w:sz w:val="24"/>
          <w:szCs w:val="24"/>
        </w:rPr>
      </w:pPr>
      <w:r>
        <w:rPr>
          <w:rFonts w:hint="eastAsia" w:asciiTheme="minorEastAsia" w:hAnsiTheme="minorEastAsia"/>
          <w:sz w:val="24"/>
          <w:szCs w:val="24"/>
        </w:rPr>
        <w:t>⑤ 上述各系统设备的备品备件及专用工具；各系统设备各种电缆、暗埋管、明管等附属设施，以及试运行所必需的各种临时设施。</w:t>
      </w:r>
    </w:p>
    <w:p w14:paraId="1CDF907F">
      <w:pPr>
        <w:ind w:firstLine="420" w:firstLineChars="0"/>
        <w:rPr>
          <w:rFonts w:hint="eastAsia" w:asciiTheme="minorEastAsia" w:hAnsiTheme="minorEastAsia"/>
          <w:sz w:val="24"/>
          <w:szCs w:val="24"/>
        </w:rPr>
      </w:pPr>
      <w:r>
        <w:rPr>
          <w:rFonts w:hint="eastAsia" w:asciiTheme="minorEastAsia" w:hAnsiTheme="minorEastAsia"/>
          <w:sz w:val="24"/>
          <w:szCs w:val="24"/>
        </w:rPr>
        <w:t>⑥ 与上述设备有关的电缆、镀锌钢管等装置性材料、器具及安装消耗材料。上述各系统设备的埋设管件及基础等。</w:t>
      </w:r>
    </w:p>
    <w:p w14:paraId="108889AB">
      <w:pPr>
        <w:ind w:firstLine="420" w:firstLineChars="0"/>
        <w:rPr>
          <w:rFonts w:hint="eastAsia" w:asciiTheme="minorEastAsia" w:hAnsiTheme="minorEastAsia"/>
          <w:sz w:val="24"/>
          <w:szCs w:val="24"/>
        </w:rPr>
      </w:pPr>
      <w:r>
        <w:rPr>
          <w:rFonts w:hint="eastAsia" w:asciiTheme="minorEastAsia" w:hAnsiTheme="minorEastAsia"/>
          <w:sz w:val="24"/>
          <w:szCs w:val="24"/>
        </w:rPr>
        <w:t>⑦ 其它设备和材料及技术文件；其它（如：现场服务、试验配合、运输、技术交底等）。</w:t>
      </w:r>
    </w:p>
    <w:p w14:paraId="74DF2AB4">
      <w:pPr>
        <w:ind w:firstLine="420" w:firstLineChars="0"/>
        <w:rPr>
          <w:rFonts w:hint="eastAsia" w:asciiTheme="minorEastAsia" w:hAnsiTheme="minorEastAsia"/>
          <w:sz w:val="24"/>
          <w:szCs w:val="24"/>
        </w:rPr>
      </w:pPr>
      <w:r>
        <w:rPr>
          <w:rFonts w:hint="eastAsia" w:asciiTheme="minorEastAsia" w:hAnsiTheme="minorEastAsia"/>
          <w:sz w:val="24"/>
          <w:szCs w:val="24"/>
        </w:rPr>
        <w:t>2.11.2承包人责任</w:t>
      </w:r>
    </w:p>
    <w:p w14:paraId="3E98B8BD">
      <w:pPr>
        <w:ind w:firstLine="420" w:firstLineChars="0"/>
        <w:rPr>
          <w:rFonts w:hint="eastAsia" w:asciiTheme="minorEastAsia" w:hAnsiTheme="minorEastAsia"/>
          <w:sz w:val="24"/>
          <w:szCs w:val="24"/>
        </w:rPr>
      </w:pPr>
      <w:r>
        <w:rPr>
          <w:rFonts w:hint="eastAsia" w:asciiTheme="minorEastAsia" w:hAnsiTheme="minorEastAsia"/>
          <w:sz w:val="24"/>
          <w:szCs w:val="24"/>
        </w:rPr>
        <w:t>1）按合同约定，承包人应负责本工程机电设备的采购、设备到达工地的卸车、开箱验收、保管、仓储、二次运输、安装、埋设、分部调试试验、试运行、消缺直至移交给发包人的全部工作。</w:t>
      </w:r>
    </w:p>
    <w:p w14:paraId="1A2AB781">
      <w:pPr>
        <w:ind w:firstLine="420" w:firstLineChars="0"/>
        <w:rPr>
          <w:rFonts w:hint="eastAsia" w:asciiTheme="minorEastAsia" w:hAnsiTheme="minorEastAsia"/>
          <w:sz w:val="24"/>
          <w:szCs w:val="24"/>
        </w:rPr>
      </w:pPr>
      <w:r>
        <w:rPr>
          <w:rFonts w:hint="eastAsia" w:asciiTheme="minorEastAsia" w:hAnsiTheme="minorEastAsia"/>
          <w:sz w:val="24"/>
          <w:szCs w:val="24"/>
        </w:rPr>
        <w:t>2）本标承包人应按发包人提供的施工图纸和设计文件，国家和部颁最新的有关规范、规程、标准，以及设备生产厂家的安装图纸、安装说明书进行设备、部件的安装、调整、试验。</w:t>
      </w:r>
    </w:p>
    <w:p w14:paraId="21BDE118">
      <w:pPr>
        <w:ind w:firstLine="420" w:firstLineChars="0"/>
        <w:rPr>
          <w:rFonts w:hint="eastAsia" w:asciiTheme="minorEastAsia" w:hAnsiTheme="minorEastAsia"/>
          <w:sz w:val="24"/>
          <w:szCs w:val="24"/>
        </w:rPr>
      </w:pPr>
      <w:r>
        <w:rPr>
          <w:rFonts w:hint="eastAsia" w:asciiTheme="minorEastAsia" w:hAnsiTheme="minorEastAsia"/>
          <w:sz w:val="24"/>
          <w:szCs w:val="24"/>
        </w:rPr>
        <w:t>3）施工图纸采用国家标准图集的，承包人应按设计图纸所指定的标准图集号，自行置备标准图集。凡有关安装规程、规范、标准图集、技术要求已经明确或属于常规安装的部分，施工图纸上不再提供安装大样图。</w:t>
      </w:r>
    </w:p>
    <w:p w14:paraId="301DC3CA">
      <w:pPr>
        <w:ind w:firstLine="420" w:firstLineChars="0"/>
        <w:rPr>
          <w:rFonts w:hint="eastAsia" w:asciiTheme="minorEastAsia" w:hAnsiTheme="minorEastAsia"/>
          <w:sz w:val="24"/>
          <w:szCs w:val="24"/>
        </w:rPr>
      </w:pPr>
      <w:r>
        <w:rPr>
          <w:rFonts w:hint="eastAsia" w:asciiTheme="minorEastAsia" w:hAnsiTheme="minorEastAsia"/>
          <w:sz w:val="24"/>
          <w:szCs w:val="24"/>
        </w:rPr>
        <w:t>4）设备及材料的采购应满足本工程施工图纸的要求并提交监理人批准同意。全部电气设备选型经业主同意后方可采购。</w:t>
      </w:r>
    </w:p>
    <w:p w14:paraId="328BDB4D">
      <w:pPr>
        <w:ind w:firstLine="420" w:firstLineChars="0"/>
        <w:rPr>
          <w:rFonts w:hint="eastAsia" w:asciiTheme="minorEastAsia" w:hAnsiTheme="minorEastAsia"/>
          <w:sz w:val="24"/>
          <w:szCs w:val="24"/>
        </w:rPr>
      </w:pPr>
      <w:r>
        <w:rPr>
          <w:rFonts w:hint="eastAsia" w:asciiTheme="minorEastAsia" w:hAnsiTheme="minorEastAsia"/>
          <w:sz w:val="24"/>
          <w:szCs w:val="24"/>
        </w:rPr>
        <w:t>5）承包人采购及安装的所有机电设备结构必须安全可靠，操作方便，维修容易，同时应由能承受相关标准规定的机械、电和热应力的材料构成，材料应进行合适的表面处理或采用合适的防腐蚀材料。须通过机械负载试验、温升试验、短路强度试验、保护电路连续性试验、介电强度试验、绝缘电阻试验等型式试验。</w:t>
      </w:r>
    </w:p>
    <w:p w14:paraId="7FDE25B1">
      <w:pPr>
        <w:ind w:firstLine="420" w:firstLineChars="0"/>
        <w:rPr>
          <w:rFonts w:hint="eastAsia" w:asciiTheme="minorEastAsia" w:hAnsiTheme="minorEastAsia"/>
          <w:sz w:val="24"/>
          <w:szCs w:val="24"/>
        </w:rPr>
      </w:pPr>
      <w:r>
        <w:rPr>
          <w:rFonts w:hint="eastAsia" w:asciiTheme="minorEastAsia" w:hAnsiTheme="minorEastAsia"/>
          <w:sz w:val="24"/>
          <w:szCs w:val="24"/>
        </w:rPr>
        <w:t>6）除施工图纸所列出的主要设备、材料以外，承包人还必须置备完成安装工作所必需的、施工图纸中未一一列出的各种辅助材料，包括但不限于接线盒、螺栓、螺母、垫圈、铆钉、垫片、支撑、夹具、压条、网格、电焊条、密封填料、保温辅材、油漆、铁丝、粘结材料、二期混凝土、二期砂浆等等。其规格数量按有关安装规程、规范、定额、标准图集、设计大样图及合同技术要求等的规定置备。</w:t>
      </w:r>
    </w:p>
    <w:p w14:paraId="418D3596">
      <w:pPr>
        <w:ind w:firstLine="420" w:firstLineChars="0"/>
        <w:rPr>
          <w:rFonts w:hint="eastAsia" w:asciiTheme="minorEastAsia" w:hAnsiTheme="minorEastAsia"/>
          <w:sz w:val="24"/>
          <w:szCs w:val="24"/>
        </w:rPr>
      </w:pPr>
      <w:r>
        <w:rPr>
          <w:rFonts w:hint="eastAsia" w:asciiTheme="minorEastAsia" w:hAnsiTheme="minorEastAsia"/>
          <w:sz w:val="24"/>
          <w:szCs w:val="24"/>
        </w:rPr>
        <w:t>7）按合同约定，机电设备安装工作还应包括安装用的零部件加工制作，管道、埋件与接地线的现场制作安装、二期混凝土浇筑；机电设备与各系统安装后的调试、试验和启动试运行、质量检查和验收等全部工作。</w:t>
      </w:r>
    </w:p>
    <w:p w14:paraId="096B9B6B">
      <w:pPr>
        <w:ind w:firstLine="420" w:firstLineChars="0"/>
        <w:rPr>
          <w:rFonts w:hint="eastAsia" w:asciiTheme="minorEastAsia" w:hAnsiTheme="minorEastAsia"/>
          <w:sz w:val="24"/>
          <w:szCs w:val="24"/>
        </w:rPr>
      </w:pPr>
      <w:r>
        <w:rPr>
          <w:rFonts w:hint="eastAsia" w:asciiTheme="minorEastAsia" w:hAnsiTheme="minorEastAsia"/>
          <w:sz w:val="24"/>
          <w:szCs w:val="24"/>
        </w:rPr>
        <w:t>8）承包人应对安装过程中各种原材料、工序等情况作出详细记录并经监理人签证，其中隐蔽工程安装完成，经监理人验收合格、签证后，方能进行土建施工。承包人有责任根据监理人的指示进行复查。该记录资料将作为工程验收的重要依据。</w:t>
      </w:r>
    </w:p>
    <w:p w14:paraId="6EA63EDB">
      <w:pPr>
        <w:ind w:firstLine="420" w:firstLineChars="0"/>
        <w:rPr>
          <w:rFonts w:hint="eastAsia" w:asciiTheme="minorEastAsia" w:hAnsiTheme="minorEastAsia"/>
          <w:sz w:val="24"/>
          <w:szCs w:val="24"/>
        </w:rPr>
      </w:pPr>
      <w:r>
        <w:rPr>
          <w:rFonts w:hint="eastAsia" w:asciiTheme="minorEastAsia" w:hAnsiTheme="minorEastAsia"/>
          <w:sz w:val="24"/>
          <w:szCs w:val="24"/>
        </w:rPr>
        <w:t>9）承包人应提供所有机电设备安装工作所需的人工、材料、设备、检测器具，以及为安装使用的辅助设备和辅助设施等。</w:t>
      </w:r>
    </w:p>
    <w:p w14:paraId="5D6C4431">
      <w:pPr>
        <w:ind w:firstLine="420" w:firstLineChars="0"/>
        <w:rPr>
          <w:rFonts w:hint="eastAsia" w:asciiTheme="minorEastAsia" w:hAnsiTheme="minorEastAsia"/>
          <w:sz w:val="24"/>
          <w:szCs w:val="24"/>
        </w:rPr>
      </w:pPr>
      <w:r>
        <w:rPr>
          <w:rFonts w:hint="eastAsia" w:asciiTheme="minorEastAsia" w:hAnsiTheme="minorEastAsia"/>
          <w:sz w:val="24"/>
          <w:szCs w:val="24"/>
        </w:rPr>
        <w:t>10）承包人应负责机电设备在施工安装期和缺陷责任期内的运转维护、保养和缺陷修复工作。修复工艺和所用材料应符合设计图纸、文件、国家标准、规范及本合同的技术要求。</w:t>
      </w:r>
    </w:p>
    <w:p w14:paraId="2C620EF0">
      <w:pPr>
        <w:ind w:firstLine="420" w:firstLineChars="0"/>
        <w:rPr>
          <w:rFonts w:hint="eastAsia" w:asciiTheme="minorEastAsia" w:hAnsiTheme="minorEastAsia"/>
          <w:sz w:val="24"/>
          <w:szCs w:val="24"/>
        </w:rPr>
      </w:pPr>
      <w:r>
        <w:rPr>
          <w:rFonts w:hint="eastAsia" w:asciiTheme="minorEastAsia" w:hAnsiTheme="minorEastAsia"/>
          <w:sz w:val="24"/>
          <w:szCs w:val="24"/>
        </w:rPr>
        <w:t>11）承包人应在安装过程中按有关规程要求，同步进行质量控制检测。安装后对设备逐台进行试运行，系统联合试运行，作好检测和试验记录，并需监理单位到场核查签证，直到参加发包人组织的工程项目竣工验收。承包人应向发包人移交所有相关的完工资料，参加完工验收。</w:t>
      </w:r>
    </w:p>
    <w:p w14:paraId="22888F19">
      <w:pPr>
        <w:rPr>
          <w:rFonts w:hint="eastAsia" w:asciiTheme="minorEastAsia" w:hAnsiTheme="minorEastAsia"/>
          <w:sz w:val="24"/>
          <w:szCs w:val="24"/>
        </w:rPr>
      </w:pPr>
      <w:r>
        <w:rPr>
          <w:rFonts w:hint="eastAsia"/>
          <w:sz w:val="24"/>
          <w:szCs w:val="24"/>
          <w:lang w:val="en-US" w:eastAsia="zh-CN"/>
        </w:rPr>
        <w:tab/>
      </w:r>
      <w:r>
        <w:rPr>
          <w:rFonts w:hint="eastAsia" w:asciiTheme="minorEastAsia" w:hAnsiTheme="minorEastAsia"/>
          <w:sz w:val="24"/>
          <w:szCs w:val="24"/>
        </w:rPr>
        <w:t>12）本标承包人在工程安装调试完毕，直至移交发包人前，承包人一直负有对所安装工程设施的照管责任。</w:t>
      </w:r>
    </w:p>
    <w:p w14:paraId="35DF1FC8">
      <w:pPr>
        <w:ind w:firstLine="420" w:firstLineChars="0"/>
        <w:rPr>
          <w:rFonts w:hint="eastAsia" w:asciiTheme="minorEastAsia" w:hAnsiTheme="minorEastAsia"/>
          <w:sz w:val="24"/>
          <w:szCs w:val="24"/>
        </w:rPr>
      </w:pPr>
      <w:r>
        <w:rPr>
          <w:rFonts w:hint="eastAsia" w:asciiTheme="minorEastAsia" w:hAnsiTheme="minorEastAsia"/>
          <w:sz w:val="24"/>
          <w:szCs w:val="24"/>
        </w:rPr>
        <w:t>4.3照明灯具设备采购技术要求</w:t>
      </w:r>
    </w:p>
    <w:p w14:paraId="16DF6837">
      <w:pPr>
        <w:ind w:firstLine="420" w:firstLineChars="0"/>
        <w:rPr>
          <w:rFonts w:hint="eastAsia" w:asciiTheme="minorEastAsia" w:hAnsiTheme="minorEastAsia"/>
          <w:sz w:val="24"/>
          <w:szCs w:val="24"/>
        </w:rPr>
      </w:pPr>
      <w:r>
        <w:rPr>
          <w:rFonts w:hint="eastAsia" w:asciiTheme="minorEastAsia" w:hAnsiTheme="minorEastAsia"/>
          <w:sz w:val="24"/>
          <w:szCs w:val="24"/>
        </w:rPr>
        <w:t>A一般技术要求</w:t>
      </w:r>
    </w:p>
    <w:p w14:paraId="534BA616">
      <w:pPr>
        <w:ind w:firstLine="420" w:firstLineChars="0"/>
        <w:rPr>
          <w:rFonts w:hint="eastAsia" w:asciiTheme="minorEastAsia" w:hAnsiTheme="minorEastAsia"/>
          <w:sz w:val="24"/>
          <w:szCs w:val="24"/>
        </w:rPr>
      </w:pPr>
      <w:r>
        <w:rPr>
          <w:rFonts w:hint="eastAsia" w:asciiTheme="minorEastAsia" w:hAnsiTheme="minorEastAsia"/>
          <w:sz w:val="24"/>
          <w:szCs w:val="24"/>
        </w:rPr>
        <w:t>1）所有照明灯具的安装尺寸应满足设计要求，所有灯具严格按各类灯具相应的国家标准执行。</w:t>
      </w:r>
    </w:p>
    <w:p w14:paraId="01A755AF">
      <w:pPr>
        <w:ind w:firstLine="420" w:firstLineChars="0"/>
        <w:rPr>
          <w:rFonts w:hint="eastAsia" w:asciiTheme="minorEastAsia" w:hAnsiTheme="minorEastAsia"/>
          <w:sz w:val="24"/>
          <w:szCs w:val="24"/>
        </w:rPr>
      </w:pPr>
      <w:r>
        <w:rPr>
          <w:rFonts w:hint="eastAsia" w:asciiTheme="minorEastAsia" w:hAnsiTheme="minorEastAsia"/>
          <w:sz w:val="24"/>
          <w:szCs w:val="24"/>
        </w:rPr>
        <w:t>2）照明灯具应能适应现场的不同安装方式，并配相应的安装附件。</w:t>
      </w:r>
    </w:p>
    <w:p w14:paraId="1276428C">
      <w:pPr>
        <w:ind w:firstLine="420" w:firstLineChars="0"/>
        <w:rPr>
          <w:rFonts w:hint="eastAsia" w:asciiTheme="minorEastAsia" w:hAnsiTheme="minorEastAsia"/>
          <w:sz w:val="24"/>
          <w:szCs w:val="24"/>
        </w:rPr>
      </w:pPr>
      <w:r>
        <w:rPr>
          <w:rFonts w:hint="eastAsia" w:asciiTheme="minorEastAsia" w:hAnsiTheme="minorEastAsia"/>
          <w:sz w:val="24"/>
          <w:szCs w:val="24"/>
        </w:rPr>
        <w:t>3）所有应急照明、诱导灯具必须通过中国消防产品质量认证委员会的认证即：产品型式认可证书，严格按GB17945-2010消防应急照明灯具规范标准执行。</w:t>
      </w:r>
    </w:p>
    <w:p w14:paraId="28C2C6F3">
      <w:pPr>
        <w:ind w:firstLine="420" w:firstLineChars="0"/>
        <w:rPr>
          <w:rFonts w:hint="eastAsia" w:asciiTheme="minorEastAsia" w:hAnsiTheme="minorEastAsia"/>
          <w:sz w:val="24"/>
          <w:szCs w:val="24"/>
        </w:rPr>
      </w:pPr>
      <w:r>
        <w:rPr>
          <w:rFonts w:hint="eastAsia" w:asciiTheme="minorEastAsia" w:hAnsiTheme="minorEastAsia"/>
          <w:sz w:val="24"/>
          <w:szCs w:val="24"/>
        </w:rPr>
        <w:t>4）所有防爆灯具应获得国家防爆电气产品质量监督检验中心颁发的防爆合格证书，并提供相关检测报告，严格按GB3836防爆标准执行，按IIC防爆标准设计。</w:t>
      </w:r>
    </w:p>
    <w:p w14:paraId="42BE2E93">
      <w:pPr>
        <w:ind w:firstLine="420" w:firstLineChars="0"/>
        <w:rPr>
          <w:rFonts w:hint="eastAsia" w:asciiTheme="minorEastAsia" w:hAnsiTheme="minorEastAsia"/>
          <w:sz w:val="24"/>
          <w:szCs w:val="24"/>
        </w:rPr>
      </w:pPr>
      <w:r>
        <w:rPr>
          <w:rFonts w:hint="eastAsia" w:asciiTheme="minorEastAsia" w:hAnsiTheme="minorEastAsia"/>
          <w:sz w:val="24"/>
          <w:szCs w:val="24"/>
        </w:rPr>
        <w:t>5）光源必须是符合相关标准、认证的优质产品，光通量符合铭牌要求，照度、色温符合设计要求，平均使用寿命满足技术规范要求；光源类型符合技术规范要求，陶瓷灯头采用永不短路灯头加厚的高强度、高弹性的磷片，保证与灯泡有良好的接触；与导电电线能受热至105℃高温。LED模块应满足GB/T 24823、GB/T 24908等相关国际国内规范要求。</w:t>
      </w:r>
    </w:p>
    <w:p w14:paraId="181D4D9C">
      <w:pPr>
        <w:ind w:firstLine="420" w:firstLineChars="0"/>
        <w:rPr>
          <w:rFonts w:hint="eastAsia" w:asciiTheme="minorEastAsia" w:hAnsiTheme="minorEastAsia"/>
          <w:sz w:val="24"/>
          <w:szCs w:val="24"/>
        </w:rPr>
      </w:pPr>
      <w:r>
        <w:rPr>
          <w:rFonts w:hint="eastAsia" w:asciiTheme="minorEastAsia" w:hAnsiTheme="minorEastAsia"/>
          <w:sz w:val="24"/>
          <w:szCs w:val="24"/>
        </w:rPr>
        <w:t>6）光源要具有光效高、节约能源、寿命长的特点。按设计及技术规范要求采用新型、节能光源。</w:t>
      </w:r>
    </w:p>
    <w:p w14:paraId="17CE05E6">
      <w:pPr>
        <w:ind w:firstLine="420" w:firstLineChars="0"/>
        <w:rPr>
          <w:rFonts w:hint="eastAsia" w:asciiTheme="minorEastAsia" w:hAnsiTheme="minorEastAsia"/>
          <w:sz w:val="24"/>
          <w:szCs w:val="24"/>
        </w:rPr>
      </w:pPr>
      <w:r>
        <w:rPr>
          <w:rFonts w:hint="eastAsia" w:asciiTheme="minorEastAsia" w:hAnsiTheme="minorEastAsia"/>
          <w:sz w:val="24"/>
          <w:szCs w:val="24"/>
        </w:rPr>
        <w:t>7）LED光源、驱动电源应提供厂家授权文件 ，保证光源电源的性能匹配。</w:t>
      </w:r>
    </w:p>
    <w:p w14:paraId="0D702738">
      <w:pPr>
        <w:ind w:firstLine="420" w:firstLineChars="0"/>
        <w:rPr>
          <w:rFonts w:hint="eastAsia" w:asciiTheme="minorEastAsia" w:hAnsiTheme="minorEastAsia"/>
          <w:sz w:val="24"/>
          <w:szCs w:val="24"/>
        </w:rPr>
      </w:pPr>
      <w:r>
        <w:rPr>
          <w:rFonts w:hint="eastAsia" w:asciiTheme="minorEastAsia" w:hAnsiTheme="minorEastAsia"/>
          <w:sz w:val="24"/>
          <w:szCs w:val="24"/>
        </w:rPr>
        <w:t>8）LED光源和LED灯具的初始光通量不应低于额定光通量的90%，且不应高于额定光通量的120%。（投标文件要求提供第三方测试报告)</w:t>
      </w:r>
    </w:p>
    <w:p w14:paraId="09D10FA8">
      <w:pPr>
        <w:ind w:firstLine="420" w:firstLineChars="0"/>
        <w:rPr>
          <w:rFonts w:hint="eastAsia" w:asciiTheme="minorEastAsia" w:hAnsiTheme="minorEastAsia"/>
          <w:sz w:val="24"/>
          <w:szCs w:val="24"/>
        </w:rPr>
      </w:pPr>
      <w:r>
        <w:rPr>
          <w:rFonts w:hint="eastAsia" w:asciiTheme="minorEastAsia" w:hAnsiTheme="minorEastAsia"/>
          <w:sz w:val="24"/>
          <w:szCs w:val="24"/>
        </w:rPr>
        <w:t>9）LED光源和LED灯具工作3000h后的光通维持率不应小于96%，6000h的光通维持率不应小于92%，并于投标阶段提交型式试验报告。</w:t>
      </w:r>
    </w:p>
    <w:p w14:paraId="3B397445">
      <w:pPr>
        <w:ind w:firstLine="420" w:firstLineChars="0"/>
        <w:rPr>
          <w:rFonts w:hint="eastAsia" w:asciiTheme="minorEastAsia" w:hAnsiTheme="minorEastAsia"/>
          <w:sz w:val="24"/>
          <w:szCs w:val="24"/>
        </w:rPr>
      </w:pPr>
      <w:r>
        <w:rPr>
          <w:rFonts w:hint="eastAsia" w:asciiTheme="minorEastAsia" w:hAnsiTheme="minorEastAsia"/>
          <w:sz w:val="24"/>
          <w:szCs w:val="24"/>
        </w:rPr>
        <w:t>10）LED灯具的控制装置应便于现场更换和维修，光源宜便于更换。</w:t>
      </w:r>
    </w:p>
    <w:p w14:paraId="539A2254">
      <w:pPr>
        <w:ind w:firstLine="420" w:firstLineChars="0"/>
        <w:rPr>
          <w:rFonts w:hint="eastAsia" w:asciiTheme="minorEastAsia" w:hAnsiTheme="minorEastAsia"/>
          <w:sz w:val="24"/>
          <w:szCs w:val="24"/>
        </w:rPr>
      </w:pPr>
      <w:r>
        <w:rPr>
          <w:rFonts w:hint="eastAsia" w:asciiTheme="minorEastAsia" w:hAnsiTheme="minorEastAsia"/>
          <w:sz w:val="24"/>
          <w:szCs w:val="24"/>
        </w:rPr>
        <w:t>11）LED灯具、LED模块用直流或交流电子控制装置应符合国家3C认证的规定。</w:t>
      </w:r>
    </w:p>
    <w:p w14:paraId="79239260">
      <w:pPr>
        <w:ind w:firstLine="420" w:firstLineChars="0"/>
        <w:rPr>
          <w:rFonts w:hint="eastAsia" w:asciiTheme="minorEastAsia" w:hAnsiTheme="minorEastAsia"/>
          <w:sz w:val="24"/>
          <w:szCs w:val="24"/>
        </w:rPr>
      </w:pPr>
      <w:r>
        <w:rPr>
          <w:rFonts w:hint="eastAsia" w:asciiTheme="minorEastAsia" w:hAnsiTheme="minorEastAsia"/>
          <w:sz w:val="24"/>
          <w:szCs w:val="24"/>
        </w:rPr>
        <w:t>12）LED光源和LED灯具应能在-20℃~45℃环境温度内正常工作。特殊场所应满足具体使用场所的环境温度、湿度和腐蚀性等其他要求。</w:t>
      </w:r>
    </w:p>
    <w:p w14:paraId="2C665562">
      <w:pPr>
        <w:ind w:firstLine="420" w:firstLineChars="0"/>
        <w:rPr>
          <w:rFonts w:hint="eastAsia" w:asciiTheme="minorEastAsia" w:hAnsiTheme="minorEastAsia"/>
          <w:sz w:val="24"/>
          <w:szCs w:val="24"/>
        </w:rPr>
      </w:pPr>
      <w:r>
        <w:rPr>
          <w:rFonts w:hint="eastAsia" w:asciiTheme="minorEastAsia" w:hAnsiTheme="minorEastAsia"/>
          <w:sz w:val="24"/>
          <w:szCs w:val="24"/>
        </w:rPr>
        <w:t>13）LED光源和LED灯具在额定电压90%~110%范围内应能正常工作，特殊场所应满足使用场所的要求。</w:t>
      </w:r>
    </w:p>
    <w:p w14:paraId="06AEE108">
      <w:pPr>
        <w:ind w:firstLine="420" w:firstLineChars="0"/>
        <w:rPr>
          <w:rFonts w:hint="eastAsia" w:asciiTheme="minorEastAsia" w:hAnsiTheme="minorEastAsia"/>
          <w:sz w:val="24"/>
          <w:szCs w:val="24"/>
        </w:rPr>
      </w:pPr>
      <w:r>
        <w:rPr>
          <w:rFonts w:hint="eastAsia" w:asciiTheme="minorEastAsia" w:hAnsiTheme="minorEastAsia"/>
          <w:sz w:val="24"/>
          <w:szCs w:val="24"/>
        </w:rPr>
        <w:t>14）照明灯具应灯具电器一体化，外形美观，重量轻，安装简单，拆卸方便。</w:t>
      </w:r>
    </w:p>
    <w:p w14:paraId="0A6B138B">
      <w:pPr>
        <w:ind w:firstLine="420" w:firstLineChars="0"/>
        <w:rPr>
          <w:rFonts w:hint="eastAsia" w:asciiTheme="minorEastAsia" w:hAnsiTheme="minorEastAsia"/>
          <w:sz w:val="24"/>
          <w:szCs w:val="24"/>
        </w:rPr>
      </w:pPr>
      <w:r>
        <w:rPr>
          <w:rFonts w:hint="eastAsia" w:asciiTheme="minorEastAsia" w:hAnsiTheme="minorEastAsia"/>
          <w:sz w:val="24"/>
          <w:szCs w:val="24"/>
        </w:rPr>
        <w:t>B特殊技术要求</w:t>
      </w:r>
    </w:p>
    <w:p w14:paraId="4722D69B">
      <w:pPr>
        <w:ind w:firstLine="420" w:firstLineChars="0"/>
        <w:rPr>
          <w:rFonts w:hint="eastAsia" w:asciiTheme="minorEastAsia" w:hAnsiTheme="minorEastAsia"/>
          <w:sz w:val="24"/>
          <w:szCs w:val="24"/>
        </w:rPr>
      </w:pPr>
      <w:r>
        <w:rPr>
          <w:rFonts w:hint="eastAsia" w:asciiTheme="minorEastAsia" w:hAnsiTheme="minorEastAsia"/>
          <w:sz w:val="24"/>
          <w:szCs w:val="24"/>
        </w:rPr>
        <w:t>1）LED日光灯</w:t>
      </w:r>
    </w:p>
    <w:p w14:paraId="339DF963">
      <w:pPr>
        <w:ind w:firstLine="420" w:firstLineChars="0"/>
        <w:rPr>
          <w:rFonts w:hint="eastAsia" w:asciiTheme="minorEastAsia" w:hAnsiTheme="minorEastAsia"/>
          <w:sz w:val="24"/>
          <w:szCs w:val="24"/>
        </w:rPr>
      </w:pPr>
      <w:r>
        <w:rPr>
          <w:rFonts w:hint="eastAsia" w:asciiTheme="minorEastAsia" w:hAnsiTheme="minorEastAsia"/>
          <w:sz w:val="24"/>
          <w:szCs w:val="24"/>
        </w:rPr>
        <w:t>一体化灯体，铸铝材质壳体</w:t>
      </w:r>
    </w:p>
    <w:p w14:paraId="0C55FC95">
      <w:pPr>
        <w:ind w:firstLine="420" w:firstLineChars="0"/>
        <w:rPr>
          <w:rFonts w:hint="eastAsia" w:asciiTheme="minorEastAsia" w:hAnsiTheme="minorEastAsia"/>
          <w:sz w:val="24"/>
          <w:szCs w:val="24"/>
        </w:rPr>
      </w:pPr>
      <w:r>
        <w:rPr>
          <w:rFonts w:hint="eastAsia" w:asciiTheme="minorEastAsia" w:hAnsiTheme="minorEastAsia"/>
          <w:sz w:val="24"/>
          <w:szCs w:val="24"/>
        </w:rPr>
        <w:t>功率因数≥0.95，系统光效≥80lm/W</w:t>
      </w:r>
    </w:p>
    <w:p w14:paraId="319BC5CC">
      <w:pPr>
        <w:ind w:firstLine="420" w:firstLineChars="0"/>
        <w:rPr>
          <w:rFonts w:hint="eastAsia" w:asciiTheme="minorEastAsia" w:hAnsiTheme="minorEastAsia"/>
          <w:sz w:val="24"/>
          <w:szCs w:val="24"/>
        </w:rPr>
      </w:pPr>
      <w:r>
        <w:rPr>
          <w:rFonts w:hint="eastAsia" w:asciiTheme="minorEastAsia" w:hAnsiTheme="minorEastAsia"/>
          <w:sz w:val="24"/>
          <w:szCs w:val="24"/>
        </w:rPr>
        <w:t>LED发光光源，寿命不小于50000h</w:t>
      </w:r>
    </w:p>
    <w:p w14:paraId="5203E0FA">
      <w:pPr>
        <w:ind w:firstLine="420" w:firstLineChars="0"/>
        <w:rPr>
          <w:rFonts w:hint="eastAsia" w:asciiTheme="minorEastAsia" w:hAnsiTheme="minorEastAsia"/>
          <w:sz w:val="24"/>
          <w:szCs w:val="24"/>
        </w:rPr>
      </w:pPr>
      <w:r>
        <w:rPr>
          <w:rFonts w:hint="eastAsia" w:asciiTheme="minorEastAsia" w:hAnsiTheme="minorEastAsia"/>
          <w:sz w:val="24"/>
          <w:szCs w:val="24"/>
        </w:rPr>
        <w:t>色温不大于4000k，一般显色指数不小于80</w:t>
      </w:r>
    </w:p>
    <w:p w14:paraId="2AC51A93">
      <w:pPr>
        <w:ind w:firstLine="420" w:firstLineChars="0"/>
        <w:rPr>
          <w:rFonts w:hint="eastAsia" w:asciiTheme="minorEastAsia" w:hAnsiTheme="minorEastAsia"/>
          <w:sz w:val="24"/>
          <w:szCs w:val="24"/>
        </w:rPr>
      </w:pPr>
      <w:r>
        <w:rPr>
          <w:rFonts w:hint="eastAsia" w:asciiTheme="minorEastAsia" w:hAnsiTheme="minorEastAsia"/>
          <w:sz w:val="24"/>
          <w:szCs w:val="24"/>
        </w:rPr>
        <w:t>灯具可满足嵌入式、吊杆式、吸顶或吸壁式等安装方式的要求</w:t>
      </w:r>
    </w:p>
    <w:p w14:paraId="2F260247">
      <w:pPr>
        <w:ind w:firstLine="420" w:firstLineChars="0"/>
        <w:rPr>
          <w:rFonts w:hint="eastAsia" w:asciiTheme="minorEastAsia" w:hAnsiTheme="minorEastAsia"/>
          <w:sz w:val="24"/>
          <w:szCs w:val="24"/>
        </w:rPr>
      </w:pPr>
      <w:r>
        <w:rPr>
          <w:rFonts w:hint="eastAsia" w:asciiTheme="minorEastAsia" w:hAnsiTheme="minorEastAsia"/>
          <w:sz w:val="24"/>
          <w:szCs w:val="24"/>
        </w:rPr>
        <w:t>2）LED防爆日光灯</w:t>
      </w:r>
    </w:p>
    <w:p w14:paraId="0D3D2FC8">
      <w:pPr>
        <w:ind w:firstLine="420" w:firstLineChars="0"/>
        <w:rPr>
          <w:rFonts w:hint="eastAsia" w:asciiTheme="minorEastAsia" w:hAnsiTheme="minorEastAsia"/>
          <w:sz w:val="24"/>
          <w:szCs w:val="24"/>
        </w:rPr>
      </w:pPr>
      <w:r>
        <w:rPr>
          <w:rFonts w:hint="eastAsia" w:asciiTheme="minorEastAsia" w:hAnsiTheme="minorEastAsia"/>
          <w:sz w:val="24"/>
          <w:szCs w:val="24"/>
        </w:rPr>
        <w:t>IIC防爆标准设计，塑料外壳应有较好的阻燃性，能经受960℃灼热丝试验，且具有抗静电性能。</w:t>
      </w:r>
    </w:p>
    <w:p w14:paraId="6F936B40">
      <w:pPr>
        <w:ind w:firstLine="420" w:firstLineChars="0"/>
        <w:rPr>
          <w:rFonts w:hint="eastAsia" w:asciiTheme="minorEastAsia" w:hAnsiTheme="minorEastAsia"/>
          <w:sz w:val="24"/>
          <w:szCs w:val="24"/>
        </w:rPr>
      </w:pPr>
      <w:r>
        <w:rPr>
          <w:rFonts w:hint="eastAsia" w:asciiTheme="minorEastAsia" w:hAnsiTheme="minorEastAsia"/>
          <w:sz w:val="24"/>
          <w:szCs w:val="24"/>
        </w:rPr>
        <w:t>灯具内需设置自动连锁装置，以确保安装和打开外壳维护时处自动切断电源。</w:t>
      </w:r>
    </w:p>
    <w:p w14:paraId="0C2C8D8A">
      <w:pPr>
        <w:ind w:firstLine="420" w:firstLineChars="0"/>
        <w:rPr>
          <w:rFonts w:hint="eastAsia" w:asciiTheme="minorEastAsia" w:hAnsiTheme="minorEastAsia"/>
          <w:sz w:val="24"/>
          <w:szCs w:val="24"/>
        </w:rPr>
      </w:pPr>
      <w:r>
        <w:rPr>
          <w:rFonts w:hint="eastAsia" w:asciiTheme="minorEastAsia" w:hAnsiTheme="minorEastAsia"/>
          <w:sz w:val="24"/>
          <w:szCs w:val="24"/>
        </w:rPr>
        <w:t>灯具的设计应便于维修和更换光源，宜采用专用钥匙操作锁扣装置，便于打开透明罩进行维护操作。</w:t>
      </w:r>
    </w:p>
    <w:p w14:paraId="55499E50">
      <w:pPr>
        <w:ind w:firstLine="420" w:firstLineChars="0"/>
        <w:rPr>
          <w:rFonts w:hint="eastAsia" w:asciiTheme="minorEastAsia" w:hAnsiTheme="minorEastAsia"/>
          <w:sz w:val="24"/>
          <w:szCs w:val="24"/>
        </w:rPr>
      </w:pPr>
      <w:r>
        <w:rPr>
          <w:rFonts w:hint="eastAsia" w:asciiTheme="minorEastAsia" w:hAnsiTheme="minorEastAsia"/>
          <w:sz w:val="24"/>
          <w:szCs w:val="24"/>
        </w:rPr>
        <w:t>功率因数≥0.95。</w:t>
      </w:r>
    </w:p>
    <w:p w14:paraId="41F08D9B">
      <w:pPr>
        <w:ind w:firstLine="420" w:firstLineChars="0"/>
        <w:rPr>
          <w:rFonts w:hint="eastAsia" w:asciiTheme="minorEastAsia" w:hAnsiTheme="minorEastAsia"/>
          <w:sz w:val="24"/>
          <w:szCs w:val="24"/>
        </w:rPr>
      </w:pPr>
      <w:r>
        <w:rPr>
          <w:rFonts w:hint="eastAsia" w:asciiTheme="minorEastAsia" w:hAnsiTheme="minorEastAsia"/>
          <w:sz w:val="24"/>
          <w:szCs w:val="24"/>
        </w:rPr>
        <w:t>系统光效≥80lm/W。</w:t>
      </w:r>
    </w:p>
    <w:p w14:paraId="2FAD2289">
      <w:pPr>
        <w:ind w:firstLine="420" w:firstLineChars="0"/>
        <w:rPr>
          <w:rFonts w:hint="eastAsia" w:asciiTheme="minorEastAsia" w:hAnsiTheme="minorEastAsia"/>
          <w:sz w:val="24"/>
          <w:szCs w:val="24"/>
        </w:rPr>
      </w:pPr>
      <w:r>
        <w:rPr>
          <w:rFonts w:hint="eastAsia" w:asciiTheme="minorEastAsia" w:hAnsiTheme="minorEastAsia"/>
          <w:sz w:val="24"/>
          <w:szCs w:val="24"/>
        </w:rPr>
        <w:t>平均寿命≥40000h。</w:t>
      </w:r>
    </w:p>
    <w:p w14:paraId="7B84309F">
      <w:pPr>
        <w:ind w:firstLine="420" w:firstLineChars="0"/>
        <w:rPr>
          <w:rFonts w:hint="eastAsia" w:asciiTheme="minorEastAsia" w:hAnsiTheme="minorEastAsia"/>
          <w:sz w:val="24"/>
          <w:szCs w:val="24"/>
        </w:rPr>
      </w:pPr>
      <w:r>
        <w:rPr>
          <w:rFonts w:hint="eastAsia" w:asciiTheme="minorEastAsia" w:hAnsiTheme="minorEastAsia"/>
          <w:sz w:val="24"/>
          <w:szCs w:val="24"/>
        </w:rPr>
        <w:t>色温不大于4000k，一般显色指数不小于80。</w:t>
      </w:r>
    </w:p>
    <w:p w14:paraId="09E918EB">
      <w:pPr>
        <w:ind w:firstLine="420" w:firstLineChars="0"/>
        <w:rPr>
          <w:rFonts w:hint="eastAsia" w:asciiTheme="minorEastAsia" w:hAnsiTheme="minorEastAsia"/>
          <w:sz w:val="24"/>
          <w:szCs w:val="24"/>
        </w:rPr>
      </w:pPr>
      <w:r>
        <w:rPr>
          <w:rFonts w:hint="eastAsia" w:asciiTheme="minorEastAsia" w:hAnsiTheme="minorEastAsia"/>
          <w:sz w:val="24"/>
          <w:szCs w:val="24"/>
        </w:rPr>
        <w:t>能满足吊装、壁装不同安装方式的要求。</w:t>
      </w:r>
    </w:p>
    <w:p w14:paraId="33D9713F">
      <w:pPr>
        <w:ind w:firstLine="420" w:firstLineChars="0"/>
        <w:rPr>
          <w:rFonts w:hint="eastAsia" w:asciiTheme="minorEastAsia" w:hAnsiTheme="minorEastAsia"/>
          <w:sz w:val="24"/>
          <w:szCs w:val="24"/>
        </w:rPr>
      </w:pPr>
      <w:r>
        <w:rPr>
          <w:rFonts w:hint="eastAsia" w:asciiTheme="minorEastAsia" w:hAnsiTheme="minorEastAsia"/>
          <w:sz w:val="24"/>
          <w:szCs w:val="24"/>
        </w:rPr>
        <w:t>3）LED吸顶壁灯</w:t>
      </w:r>
    </w:p>
    <w:p w14:paraId="79F3BEFD">
      <w:pPr>
        <w:ind w:firstLine="420" w:firstLineChars="0"/>
        <w:rPr>
          <w:rFonts w:hint="eastAsia" w:asciiTheme="minorEastAsia" w:hAnsiTheme="minorEastAsia"/>
          <w:sz w:val="24"/>
          <w:szCs w:val="24"/>
        </w:rPr>
      </w:pPr>
      <w:r>
        <w:rPr>
          <w:rFonts w:hint="eastAsia" w:asciiTheme="minorEastAsia" w:hAnsiTheme="minorEastAsia"/>
          <w:sz w:val="24"/>
          <w:szCs w:val="24"/>
        </w:rPr>
        <w:t>采用乳白色PC灯罩，光线柔和，抗紫外防老化，不变形、不退色。</w:t>
      </w:r>
    </w:p>
    <w:p w14:paraId="6993B7A1">
      <w:pPr>
        <w:ind w:firstLine="420" w:firstLineChars="0"/>
        <w:rPr>
          <w:rFonts w:hint="eastAsia" w:asciiTheme="minorEastAsia" w:hAnsiTheme="minorEastAsia"/>
          <w:sz w:val="24"/>
          <w:szCs w:val="24"/>
        </w:rPr>
      </w:pPr>
      <w:r>
        <w:rPr>
          <w:rFonts w:hint="eastAsia" w:asciiTheme="minorEastAsia" w:hAnsiTheme="minorEastAsia"/>
          <w:sz w:val="24"/>
          <w:szCs w:val="24"/>
        </w:rPr>
        <w:t>功率因数≥0.95。</w:t>
      </w:r>
    </w:p>
    <w:p w14:paraId="00457F60">
      <w:pPr>
        <w:ind w:firstLine="420" w:firstLineChars="0"/>
        <w:rPr>
          <w:rFonts w:hint="eastAsia" w:asciiTheme="minorEastAsia" w:hAnsiTheme="minorEastAsia"/>
          <w:sz w:val="24"/>
          <w:szCs w:val="24"/>
        </w:rPr>
      </w:pPr>
      <w:r>
        <w:rPr>
          <w:rFonts w:hint="eastAsia" w:asciiTheme="minorEastAsia" w:hAnsiTheme="minorEastAsia"/>
          <w:sz w:val="24"/>
          <w:szCs w:val="24"/>
        </w:rPr>
        <w:t>系统光效≥80lm/W。</w:t>
      </w:r>
    </w:p>
    <w:p w14:paraId="28B14B97">
      <w:pPr>
        <w:ind w:firstLine="420" w:firstLineChars="0"/>
        <w:rPr>
          <w:rFonts w:hint="eastAsia" w:asciiTheme="minorEastAsia" w:hAnsiTheme="minorEastAsia"/>
          <w:sz w:val="24"/>
          <w:szCs w:val="24"/>
        </w:rPr>
      </w:pPr>
      <w:r>
        <w:rPr>
          <w:rFonts w:hint="eastAsia" w:asciiTheme="minorEastAsia" w:hAnsiTheme="minorEastAsia"/>
          <w:sz w:val="24"/>
          <w:szCs w:val="24"/>
        </w:rPr>
        <w:t>平均寿命≥50000h。</w:t>
      </w:r>
    </w:p>
    <w:p w14:paraId="70C24BF8">
      <w:pPr>
        <w:ind w:firstLine="420" w:firstLineChars="0"/>
        <w:rPr>
          <w:rFonts w:hint="eastAsia" w:asciiTheme="minorEastAsia" w:hAnsiTheme="minorEastAsia"/>
          <w:sz w:val="24"/>
          <w:szCs w:val="24"/>
        </w:rPr>
      </w:pPr>
      <w:r>
        <w:rPr>
          <w:rFonts w:hint="eastAsia" w:asciiTheme="minorEastAsia" w:hAnsiTheme="minorEastAsia"/>
          <w:sz w:val="24"/>
          <w:szCs w:val="24"/>
        </w:rPr>
        <w:t>能满足吸顶、吸壁安装安装方式。</w:t>
      </w:r>
    </w:p>
    <w:p w14:paraId="407A4A23">
      <w:pPr>
        <w:ind w:firstLine="420" w:firstLineChars="0"/>
        <w:rPr>
          <w:rFonts w:hint="eastAsia" w:asciiTheme="minorEastAsia" w:hAnsiTheme="minorEastAsia"/>
          <w:sz w:val="24"/>
          <w:szCs w:val="24"/>
        </w:rPr>
      </w:pPr>
      <w:r>
        <w:rPr>
          <w:rFonts w:hint="eastAsia" w:asciiTheme="minorEastAsia" w:hAnsiTheme="minorEastAsia"/>
          <w:sz w:val="24"/>
          <w:szCs w:val="24"/>
        </w:rPr>
        <w:t>色温不大于4000k，一般显色指数不小于80。</w:t>
      </w:r>
    </w:p>
    <w:p w14:paraId="27CBDCFA">
      <w:pPr>
        <w:ind w:firstLine="420" w:firstLineChars="0"/>
        <w:rPr>
          <w:rFonts w:hint="eastAsia" w:asciiTheme="minorEastAsia" w:hAnsiTheme="minorEastAsia"/>
          <w:sz w:val="24"/>
          <w:szCs w:val="24"/>
        </w:rPr>
      </w:pPr>
      <w:r>
        <w:rPr>
          <w:rFonts w:hint="eastAsia" w:asciiTheme="minorEastAsia" w:hAnsiTheme="minorEastAsia"/>
          <w:sz w:val="24"/>
          <w:szCs w:val="24"/>
        </w:rPr>
        <w:t>4）LED筒灯</w:t>
      </w:r>
    </w:p>
    <w:p w14:paraId="615FDB70">
      <w:pPr>
        <w:ind w:firstLine="420" w:firstLineChars="0"/>
        <w:rPr>
          <w:rFonts w:hint="eastAsia" w:asciiTheme="minorEastAsia" w:hAnsiTheme="minorEastAsia"/>
          <w:sz w:val="24"/>
          <w:szCs w:val="24"/>
        </w:rPr>
      </w:pPr>
      <w:r>
        <w:rPr>
          <w:rFonts w:hint="eastAsia" w:asciiTheme="minorEastAsia" w:hAnsiTheme="minorEastAsia"/>
          <w:sz w:val="24"/>
          <w:szCs w:val="24"/>
        </w:rPr>
        <w:t>要求采用优质SMD LED光源，光色纯净，色温一致性好，整灯光效高达80lm/W，高效节能，性能稳定、恒流输出，灯具寿命≥50000h。</w:t>
      </w:r>
    </w:p>
    <w:p w14:paraId="59DE10D9">
      <w:pPr>
        <w:ind w:firstLine="420" w:firstLineChars="0"/>
        <w:rPr>
          <w:rFonts w:hint="eastAsia" w:asciiTheme="minorEastAsia" w:hAnsiTheme="minorEastAsia"/>
          <w:sz w:val="24"/>
          <w:szCs w:val="24"/>
        </w:rPr>
      </w:pPr>
      <w:r>
        <w:rPr>
          <w:rFonts w:hint="eastAsia" w:asciiTheme="minorEastAsia" w:hAnsiTheme="minorEastAsia"/>
          <w:sz w:val="24"/>
          <w:szCs w:val="24"/>
        </w:rPr>
        <w:t>宽配光角，无热效应，无频闪现象，消除视觉疲劳，反射率达95%以上。</w:t>
      </w:r>
    </w:p>
    <w:p w14:paraId="3E478FE8">
      <w:pPr>
        <w:ind w:firstLine="420" w:firstLineChars="0"/>
        <w:rPr>
          <w:rFonts w:hint="eastAsia" w:asciiTheme="minorEastAsia" w:hAnsiTheme="minorEastAsia"/>
          <w:sz w:val="24"/>
          <w:szCs w:val="24"/>
        </w:rPr>
      </w:pPr>
      <w:r>
        <w:rPr>
          <w:rFonts w:hint="eastAsia" w:asciiTheme="minorEastAsia" w:hAnsiTheme="minorEastAsia"/>
          <w:sz w:val="24"/>
          <w:szCs w:val="24"/>
        </w:rPr>
        <w:t>透光面板采用PMMA，均匀散射光线，并能有效防止眩光，光线柔和。</w:t>
      </w:r>
    </w:p>
    <w:p w14:paraId="1A314642">
      <w:pPr>
        <w:ind w:firstLine="420" w:firstLineChars="0"/>
        <w:rPr>
          <w:rFonts w:hint="eastAsia" w:asciiTheme="minorEastAsia" w:hAnsiTheme="minorEastAsia"/>
          <w:sz w:val="24"/>
          <w:szCs w:val="24"/>
        </w:rPr>
      </w:pPr>
      <w:r>
        <w:rPr>
          <w:rFonts w:hint="eastAsia" w:asciiTheme="minorEastAsia" w:hAnsiTheme="minorEastAsia"/>
          <w:sz w:val="24"/>
          <w:szCs w:val="24"/>
        </w:rPr>
        <w:t>功率因数≥0.95。</w:t>
      </w:r>
    </w:p>
    <w:p w14:paraId="5E743CC4">
      <w:pPr>
        <w:ind w:firstLine="420" w:firstLineChars="0"/>
        <w:rPr>
          <w:rFonts w:hint="eastAsia" w:asciiTheme="minorEastAsia" w:hAnsiTheme="minorEastAsia"/>
          <w:sz w:val="24"/>
          <w:szCs w:val="24"/>
        </w:rPr>
      </w:pPr>
      <w:r>
        <w:rPr>
          <w:rFonts w:hint="eastAsia" w:asciiTheme="minorEastAsia" w:hAnsiTheme="minorEastAsia"/>
          <w:sz w:val="24"/>
          <w:szCs w:val="24"/>
        </w:rPr>
        <w:t>系统光效≥75lm/W。</w:t>
      </w:r>
    </w:p>
    <w:p w14:paraId="5803D7EA">
      <w:pPr>
        <w:ind w:firstLine="420" w:firstLineChars="0"/>
        <w:rPr>
          <w:rFonts w:hint="eastAsia" w:asciiTheme="minorEastAsia" w:hAnsiTheme="minorEastAsia"/>
          <w:sz w:val="24"/>
          <w:szCs w:val="24"/>
        </w:rPr>
      </w:pPr>
      <w:r>
        <w:rPr>
          <w:rFonts w:hint="eastAsia" w:asciiTheme="minorEastAsia" w:hAnsiTheme="minorEastAsia"/>
          <w:sz w:val="24"/>
          <w:szCs w:val="24"/>
        </w:rPr>
        <w:t>5）LED应急照明灯（A型灯具）</w:t>
      </w:r>
    </w:p>
    <w:p w14:paraId="44C21DD8">
      <w:pPr>
        <w:ind w:firstLine="420" w:firstLineChars="0"/>
        <w:rPr>
          <w:rFonts w:hint="eastAsia" w:asciiTheme="minorEastAsia" w:hAnsiTheme="minorEastAsia"/>
          <w:sz w:val="24"/>
          <w:szCs w:val="24"/>
        </w:rPr>
      </w:pPr>
      <w:r>
        <w:rPr>
          <w:rFonts w:hint="eastAsia" w:asciiTheme="minorEastAsia" w:hAnsiTheme="minorEastAsia"/>
          <w:sz w:val="24"/>
          <w:szCs w:val="24"/>
        </w:rPr>
        <w:t>灯箱应采用优质的冷轧钢冲压成型，静电喷塑处理。</w:t>
      </w:r>
    </w:p>
    <w:p w14:paraId="46D8FCFC">
      <w:pPr>
        <w:ind w:firstLine="420" w:firstLineChars="0"/>
        <w:rPr>
          <w:rFonts w:hint="eastAsia" w:asciiTheme="minorEastAsia" w:hAnsiTheme="minorEastAsia"/>
          <w:sz w:val="24"/>
          <w:szCs w:val="24"/>
        </w:rPr>
      </w:pPr>
      <w:r>
        <w:rPr>
          <w:rFonts w:hint="eastAsia" w:asciiTheme="minorEastAsia" w:hAnsiTheme="minorEastAsia"/>
          <w:sz w:val="24"/>
          <w:szCs w:val="24"/>
        </w:rPr>
        <w:t>采用免维护环保电池，充放电次数大于1000次，应急时间大于90分钟。</w:t>
      </w:r>
    </w:p>
    <w:p w14:paraId="794D5771">
      <w:pPr>
        <w:ind w:firstLine="420" w:firstLineChars="0"/>
        <w:rPr>
          <w:rFonts w:hint="eastAsia" w:asciiTheme="minorEastAsia" w:hAnsiTheme="minorEastAsia"/>
          <w:sz w:val="24"/>
          <w:szCs w:val="24"/>
        </w:rPr>
      </w:pPr>
      <w:r>
        <w:rPr>
          <w:rFonts w:hint="eastAsia" w:asciiTheme="minorEastAsia" w:hAnsiTheme="minorEastAsia"/>
          <w:sz w:val="24"/>
          <w:szCs w:val="24"/>
        </w:rPr>
        <w:t>具有智能声光报警功能，应急转换时间快。</w:t>
      </w:r>
    </w:p>
    <w:p w14:paraId="107EAC1F">
      <w:pPr>
        <w:ind w:firstLine="420" w:firstLineChars="0"/>
        <w:rPr>
          <w:rFonts w:hint="eastAsia" w:asciiTheme="minorEastAsia" w:hAnsiTheme="minorEastAsia"/>
          <w:sz w:val="24"/>
          <w:szCs w:val="24"/>
        </w:rPr>
      </w:pPr>
      <w:r>
        <w:rPr>
          <w:rFonts w:hint="eastAsia" w:asciiTheme="minorEastAsia" w:hAnsiTheme="minorEastAsia"/>
          <w:sz w:val="24"/>
          <w:szCs w:val="24"/>
        </w:rPr>
        <w:t>具有完善的自动检测功能。</w:t>
      </w:r>
    </w:p>
    <w:p w14:paraId="6AB06D49">
      <w:pPr>
        <w:ind w:firstLine="420" w:firstLineChars="0"/>
        <w:rPr>
          <w:rFonts w:hint="eastAsia" w:asciiTheme="minorEastAsia" w:hAnsiTheme="minorEastAsia"/>
          <w:sz w:val="24"/>
          <w:szCs w:val="24"/>
        </w:rPr>
      </w:pPr>
      <w:r>
        <w:rPr>
          <w:rFonts w:hint="eastAsia" w:asciiTheme="minorEastAsia" w:hAnsiTheme="minorEastAsia"/>
          <w:sz w:val="24"/>
          <w:szCs w:val="24"/>
        </w:rPr>
        <w:t>采用万向灯头座，可随意调节灯头角度。</w:t>
      </w:r>
    </w:p>
    <w:p w14:paraId="34EF7E44">
      <w:pPr>
        <w:ind w:firstLine="420" w:firstLineChars="0"/>
        <w:rPr>
          <w:rFonts w:hint="eastAsia" w:asciiTheme="minorEastAsia" w:hAnsiTheme="minorEastAsia"/>
          <w:sz w:val="24"/>
          <w:szCs w:val="24"/>
        </w:rPr>
      </w:pPr>
      <w:r>
        <w:rPr>
          <w:rFonts w:hint="eastAsia" w:asciiTheme="minorEastAsia" w:hAnsiTheme="minorEastAsia"/>
          <w:sz w:val="24"/>
          <w:szCs w:val="24"/>
        </w:rPr>
        <w:t>具有完善的电磁兼容和空载保护功能。</w:t>
      </w:r>
    </w:p>
    <w:p w14:paraId="26B41572">
      <w:pPr>
        <w:ind w:firstLine="420" w:firstLineChars="0"/>
        <w:rPr>
          <w:rFonts w:hint="eastAsia" w:asciiTheme="minorEastAsia" w:hAnsiTheme="minorEastAsia"/>
          <w:sz w:val="24"/>
          <w:szCs w:val="24"/>
        </w:rPr>
      </w:pPr>
      <w:r>
        <w:rPr>
          <w:rFonts w:hint="eastAsia" w:asciiTheme="minorEastAsia" w:hAnsiTheme="minorEastAsia"/>
          <w:sz w:val="24"/>
          <w:szCs w:val="24"/>
        </w:rPr>
        <w:t>采用耐压、耐高温耐火导线和接线端子。</w:t>
      </w:r>
    </w:p>
    <w:p w14:paraId="1EF2365D">
      <w:pPr>
        <w:ind w:firstLine="420" w:firstLineChars="0"/>
        <w:rPr>
          <w:rFonts w:hint="eastAsia" w:asciiTheme="minorEastAsia" w:hAnsiTheme="minorEastAsia"/>
          <w:sz w:val="24"/>
          <w:szCs w:val="24"/>
        </w:rPr>
      </w:pPr>
      <w:r>
        <w:rPr>
          <w:rFonts w:hint="eastAsia" w:asciiTheme="minorEastAsia" w:hAnsiTheme="minorEastAsia"/>
          <w:sz w:val="24"/>
          <w:szCs w:val="24"/>
        </w:rPr>
        <w:t>6）疏散指示灯及安全出口灯（A型灯具）</w:t>
      </w:r>
    </w:p>
    <w:p w14:paraId="5E8F2F98">
      <w:pPr>
        <w:ind w:firstLine="420" w:firstLineChars="0"/>
        <w:rPr>
          <w:rFonts w:hint="eastAsia" w:asciiTheme="minorEastAsia" w:hAnsiTheme="minorEastAsia"/>
          <w:sz w:val="24"/>
          <w:szCs w:val="24"/>
        </w:rPr>
      </w:pPr>
      <w:r>
        <w:rPr>
          <w:rFonts w:hint="eastAsia" w:asciiTheme="minorEastAsia" w:hAnsiTheme="minorEastAsia"/>
          <w:sz w:val="24"/>
          <w:szCs w:val="24"/>
        </w:rPr>
        <w:t>LED发光光源，寿命不小于100000小时</w:t>
      </w:r>
    </w:p>
    <w:p w14:paraId="778D947C">
      <w:pPr>
        <w:ind w:firstLine="420" w:firstLineChars="0"/>
        <w:rPr>
          <w:rFonts w:hint="eastAsia" w:asciiTheme="minorEastAsia" w:hAnsiTheme="minorEastAsia"/>
          <w:sz w:val="24"/>
          <w:szCs w:val="24"/>
        </w:rPr>
      </w:pPr>
      <w:r>
        <w:rPr>
          <w:rFonts w:hint="eastAsia" w:asciiTheme="minorEastAsia" w:hAnsiTheme="minorEastAsia"/>
          <w:sz w:val="24"/>
          <w:szCs w:val="24"/>
        </w:rPr>
        <w:t>铝合金面框，表面喷塑处理</w:t>
      </w:r>
    </w:p>
    <w:p w14:paraId="10D2C4C3">
      <w:pPr>
        <w:ind w:firstLine="420" w:firstLineChars="0"/>
        <w:rPr>
          <w:rFonts w:hint="eastAsia" w:asciiTheme="minorEastAsia" w:hAnsiTheme="minorEastAsia"/>
          <w:sz w:val="24"/>
          <w:szCs w:val="24"/>
        </w:rPr>
      </w:pPr>
      <w:r>
        <w:rPr>
          <w:rFonts w:hint="eastAsia" w:asciiTheme="minorEastAsia" w:hAnsiTheme="minorEastAsia"/>
          <w:sz w:val="24"/>
          <w:szCs w:val="24"/>
        </w:rPr>
        <w:t>逆变器设有过充、过放电保护功能，带有试验按钮和充电、等待故障状态的指示灯</w:t>
      </w:r>
    </w:p>
    <w:p w14:paraId="171068BB">
      <w:pPr>
        <w:ind w:firstLine="420" w:firstLineChars="0"/>
        <w:rPr>
          <w:rFonts w:hint="eastAsia" w:asciiTheme="minorEastAsia" w:hAnsiTheme="minorEastAsia"/>
          <w:sz w:val="24"/>
          <w:szCs w:val="24"/>
        </w:rPr>
      </w:pPr>
      <w:r>
        <w:rPr>
          <w:rFonts w:hint="eastAsia" w:asciiTheme="minorEastAsia" w:hAnsiTheme="minorEastAsia"/>
          <w:sz w:val="24"/>
          <w:szCs w:val="24"/>
        </w:rPr>
        <w:t>配有铬镍电池，循环充电次数不小于10000次</w:t>
      </w:r>
    </w:p>
    <w:p w14:paraId="1E704E1B">
      <w:pPr>
        <w:ind w:firstLine="420" w:firstLineChars="0"/>
        <w:rPr>
          <w:rFonts w:hint="eastAsia" w:asciiTheme="minorEastAsia" w:hAnsiTheme="minorEastAsia"/>
          <w:sz w:val="24"/>
          <w:szCs w:val="24"/>
        </w:rPr>
      </w:pPr>
      <w:r>
        <w:rPr>
          <w:rFonts w:hint="eastAsia" w:asciiTheme="minorEastAsia" w:hAnsiTheme="minorEastAsia"/>
          <w:sz w:val="24"/>
          <w:szCs w:val="24"/>
        </w:rPr>
        <w:t>应急时间不小于90分钟</w:t>
      </w:r>
    </w:p>
    <w:p w14:paraId="77CCDE80">
      <w:pPr>
        <w:ind w:firstLine="420" w:firstLineChars="0"/>
        <w:rPr>
          <w:rFonts w:hint="eastAsia" w:asciiTheme="minorEastAsia" w:hAnsiTheme="minorEastAsia"/>
          <w:sz w:val="24"/>
          <w:szCs w:val="24"/>
        </w:rPr>
      </w:pPr>
      <w:r>
        <w:rPr>
          <w:rFonts w:hint="eastAsia" w:asciiTheme="minorEastAsia" w:hAnsiTheme="minorEastAsia"/>
          <w:sz w:val="24"/>
          <w:szCs w:val="24"/>
        </w:rPr>
        <w:t>采用耐压、耐高温阻燃导线和接线端子</w:t>
      </w:r>
    </w:p>
    <w:p w14:paraId="7DEC955C">
      <w:pPr>
        <w:ind w:firstLine="420" w:firstLineChars="0"/>
        <w:rPr>
          <w:rFonts w:hint="eastAsia" w:asciiTheme="minorEastAsia" w:hAnsiTheme="minorEastAsia"/>
          <w:sz w:val="24"/>
          <w:szCs w:val="24"/>
        </w:rPr>
      </w:pPr>
      <w:r>
        <w:rPr>
          <w:rFonts w:hint="eastAsia" w:asciiTheme="minorEastAsia" w:hAnsiTheme="minorEastAsia"/>
          <w:sz w:val="24"/>
          <w:szCs w:val="24"/>
        </w:rPr>
        <w:t>9）吸顶灯</w:t>
      </w:r>
    </w:p>
    <w:p w14:paraId="3C711248">
      <w:pPr>
        <w:ind w:firstLine="420" w:firstLineChars="0"/>
        <w:rPr>
          <w:rFonts w:hint="eastAsia" w:asciiTheme="minorEastAsia" w:hAnsiTheme="minorEastAsia"/>
          <w:sz w:val="24"/>
          <w:szCs w:val="24"/>
        </w:rPr>
      </w:pPr>
      <w:r>
        <w:rPr>
          <w:rFonts w:hint="eastAsia" w:asciiTheme="minorEastAsia" w:hAnsiTheme="minorEastAsia"/>
          <w:sz w:val="24"/>
          <w:szCs w:val="24"/>
        </w:rPr>
        <w:t>采用冷扎拉伸成型底板，表面静电喷塑处理</w:t>
      </w:r>
    </w:p>
    <w:p w14:paraId="2214A070">
      <w:pPr>
        <w:ind w:firstLine="420" w:firstLineChars="0"/>
        <w:rPr>
          <w:rFonts w:hint="eastAsia" w:asciiTheme="minorEastAsia" w:hAnsiTheme="minorEastAsia"/>
          <w:sz w:val="24"/>
          <w:szCs w:val="24"/>
        </w:rPr>
      </w:pPr>
      <w:r>
        <w:rPr>
          <w:rFonts w:hint="eastAsia" w:asciiTheme="minorEastAsia" w:hAnsiTheme="minorEastAsia"/>
          <w:sz w:val="24"/>
          <w:szCs w:val="24"/>
        </w:rPr>
        <w:t>不易碎透光罩，不变形、不退色，光线柔和均匀</w:t>
      </w:r>
    </w:p>
    <w:p w14:paraId="2305971F">
      <w:pPr>
        <w:ind w:firstLine="420" w:firstLineChars="0"/>
        <w:rPr>
          <w:rFonts w:hint="eastAsia" w:asciiTheme="minorEastAsia" w:hAnsiTheme="minorEastAsia"/>
          <w:sz w:val="24"/>
          <w:szCs w:val="24"/>
        </w:rPr>
      </w:pPr>
      <w:r>
        <w:rPr>
          <w:rFonts w:hint="eastAsia" w:asciiTheme="minorEastAsia" w:hAnsiTheme="minorEastAsia"/>
          <w:sz w:val="24"/>
          <w:szCs w:val="24"/>
        </w:rPr>
        <w:t>拨转式灯罩卡件，维护简单快捷</w:t>
      </w:r>
    </w:p>
    <w:p w14:paraId="584A9785">
      <w:pPr>
        <w:ind w:firstLine="420" w:firstLineChars="0"/>
        <w:rPr>
          <w:rFonts w:hint="eastAsia" w:asciiTheme="minorEastAsia" w:hAnsiTheme="minorEastAsia"/>
          <w:sz w:val="24"/>
          <w:szCs w:val="24"/>
        </w:rPr>
      </w:pPr>
      <w:r>
        <w:rPr>
          <w:rFonts w:hint="eastAsia" w:asciiTheme="minorEastAsia" w:hAnsiTheme="minorEastAsia"/>
          <w:sz w:val="24"/>
          <w:szCs w:val="24"/>
        </w:rPr>
        <w:t>底版与安装面之间设有密封圈，具有防虫功能</w:t>
      </w:r>
    </w:p>
    <w:p w14:paraId="4AD1DB47">
      <w:pPr>
        <w:ind w:firstLine="420" w:firstLineChars="0"/>
        <w:rPr>
          <w:rFonts w:hint="eastAsia" w:asciiTheme="minorEastAsia" w:hAnsiTheme="minorEastAsia"/>
          <w:sz w:val="24"/>
          <w:szCs w:val="24"/>
        </w:rPr>
      </w:pPr>
      <w:r>
        <w:rPr>
          <w:rFonts w:hint="eastAsia" w:asciiTheme="minorEastAsia" w:hAnsiTheme="minorEastAsia"/>
          <w:sz w:val="24"/>
          <w:szCs w:val="24"/>
        </w:rPr>
        <w:t>2.11.4电缆技术要求</w:t>
      </w:r>
    </w:p>
    <w:p w14:paraId="5F45A5E4">
      <w:pPr>
        <w:ind w:firstLine="420" w:firstLineChars="0"/>
        <w:rPr>
          <w:rFonts w:hint="eastAsia" w:asciiTheme="minorEastAsia" w:hAnsiTheme="minorEastAsia"/>
          <w:sz w:val="24"/>
          <w:szCs w:val="24"/>
        </w:rPr>
      </w:pPr>
      <w:r>
        <w:rPr>
          <w:rFonts w:hint="eastAsia" w:asciiTheme="minorEastAsia" w:hAnsiTheme="minorEastAsia"/>
          <w:sz w:val="24"/>
          <w:szCs w:val="24"/>
        </w:rPr>
        <w:t>1）电力电缆的制造、试验、包装、运输除应满足GB/DL/SDL/JB/JG有关规范标准及技术要求。</w:t>
      </w:r>
    </w:p>
    <w:p w14:paraId="6EE11166">
      <w:pPr>
        <w:ind w:firstLine="420" w:firstLineChars="0"/>
        <w:rPr>
          <w:rFonts w:hint="eastAsia" w:asciiTheme="minorEastAsia" w:hAnsiTheme="minorEastAsia"/>
          <w:sz w:val="24"/>
          <w:szCs w:val="24"/>
        </w:rPr>
      </w:pPr>
      <w:r>
        <w:rPr>
          <w:rFonts w:hint="eastAsia" w:asciiTheme="minorEastAsia" w:hAnsiTheme="minorEastAsia"/>
          <w:sz w:val="24"/>
          <w:szCs w:val="24"/>
        </w:rPr>
        <w:t>2）型式：</w:t>
      </w:r>
    </w:p>
    <w:p w14:paraId="1E1F38DC">
      <w:pPr>
        <w:ind w:firstLine="420" w:firstLineChars="0"/>
        <w:rPr>
          <w:rFonts w:hint="eastAsia" w:asciiTheme="minorEastAsia" w:hAnsiTheme="minorEastAsia"/>
          <w:sz w:val="24"/>
          <w:szCs w:val="24"/>
        </w:rPr>
      </w:pPr>
      <w:r>
        <w:rPr>
          <w:rFonts w:hint="eastAsia" w:asciiTheme="minorEastAsia" w:hAnsiTheme="minorEastAsia"/>
          <w:sz w:val="24"/>
          <w:szCs w:val="24"/>
        </w:rPr>
        <w:t>铜导体，（耐火）阻燃交联聚乙烯绝缘聚氯乙烯护套电力电缆、（耐火）阻燃交联聚乙烯绝缘聚烯烃护套低烟无卤电力电缆、矿物绝缘电缆；铠装（耐火）阻燃交联聚乙烯绝缘聚氯乙烯护套电力电缆。</w:t>
      </w:r>
    </w:p>
    <w:p w14:paraId="5BCBED68">
      <w:pPr>
        <w:ind w:firstLine="420" w:firstLineChars="0"/>
        <w:rPr>
          <w:rFonts w:hint="eastAsia" w:asciiTheme="minorEastAsia" w:hAnsiTheme="minorEastAsia"/>
          <w:sz w:val="24"/>
          <w:szCs w:val="24"/>
        </w:rPr>
      </w:pPr>
      <w:r>
        <w:rPr>
          <w:rFonts w:hint="eastAsia" w:asciiTheme="minorEastAsia" w:hAnsiTheme="minorEastAsia"/>
          <w:sz w:val="24"/>
          <w:szCs w:val="24"/>
        </w:rPr>
        <w:t>3）性能参数</w:t>
      </w:r>
    </w:p>
    <w:p w14:paraId="67FAAECB">
      <w:pPr>
        <w:ind w:firstLine="420" w:firstLineChars="0"/>
        <w:rPr>
          <w:rFonts w:hint="eastAsia" w:asciiTheme="minorEastAsia" w:hAnsiTheme="minorEastAsia"/>
          <w:sz w:val="24"/>
          <w:szCs w:val="24"/>
        </w:rPr>
      </w:pPr>
      <w:r>
        <w:rPr>
          <w:rFonts w:hint="eastAsia" w:asciiTheme="minorEastAsia" w:hAnsiTheme="minorEastAsia"/>
          <w:sz w:val="24"/>
          <w:szCs w:val="24"/>
        </w:rPr>
        <w:t>额定电压(U0/U)：</w:t>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0.6/1 kV（8.7/15 kV）</w:t>
      </w:r>
    </w:p>
    <w:p w14:paraId="5163F76B">
      <w:pPr>
        <w:ind w:firstLine="420" w:firstLineChars="0"/>
        <w:rPr>
          <w:rFonts w:hint="eastAsia" w:asciiTheme="minorEastAsia" w:hAnsiTheme="minorEastAsia"/>
          <w:sz w:val="24"/>
          <w:szCs w:val="24"/>
        </w:rPr>
      </w:pPr>
      <w:r>
        <w:rPr>
          <w:rFonts w:hint="eastAsia" w:asciiTheme="minorEastAsia" w:hAnsiTheme="minorEastAsia"/>
          <w:sz w:val="24"/>
          <w:szCs w:val="24"/>
        </w:rPr>
        <w:t>额定负荷时导体最高允许温度：</w:t>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90℃</w:t>
      </w:r>
    </w:p>
    <w:p w14:paraId="3C3CF43E">
      <w:pPr>
        <w:ind w:firstLine="420" w:firstLineChars="0"/>
        <w:rPr>
          <w:rFonts w:hint="eastAsia" w:asciiTheme="minorEastAsia" w:hAnsiTheme="minorEastAsia"/>
          <w:sz w:val="24"/>
          <w:szCs w:val="24"/>
        </w:rPr>
      </w:pPr>
      <w:r>
        <w:rPr>
          <w:rFonts w:hint="eastAsia" w:asciiTheme="minorEastAsia" w:hAnsiTheme="minorEastAsia"/>
          <w:sz w:val="24"/>
          <w:szCs w:val="24"/>
        </w:rPr>
        <w:t>短路时导体最高允许温度：</w:t>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250℃</w:t>
      </w:r>
    </w:p>
    <w:p w14:paraId="0C2CB034">
      <w:pPr>
        <w:ind w:firstLine="420" w:firstLineChars="0"/>
        <w:rPr>
          <w:rFonts w:hint="eastAsia" w:asciiTheme="minorEastAsia" w:hAnsiTheme="minorEastAsia"/>
          <w:sz w:val="24"/>
          <w:szCs w:val="24"/>
        </w:rPr>
      </w:pPr>
      <w:r>
        <w:rPr>
          <w:rFonts w:hint="eastAsia" w:asciiTheme="minorEastAsia" w:hAnsiTheme="minorEastAsia"/>
          <w:sz w:val="24"/>
          <w:szCs w:val="24"/>
        </w:rPr>
        <w:t>阻燃/耐火性能：</w:t>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A类/A类</w:t>
      </w:r>
    </w:p>
    <w:p w14:paraId="1BAE7F4F">
      <w:pPr>
        <w:ind w:firstLine="420" w:firstLineChars="0"/>
        <w:rPr>
          <w:rFonts w:hint="eastAsia" w:asciiTheme="minorEastAsia" w:hAnsiTheme="minorEastAsia"/>
          <w:sz w:val="24"/>
          <w:szCs w:val="24"/>
        </w:rPr>
      </w:pPr>
      <w:r>
        <w:rPr>
          <w:rFonts w:hint="eastAsia" w:asciiTheme="minorEastAsia" w:hAnsiTheme="minorEastAsia"/>
          <w:sz w:val="24"/>
          <w:szCs w:val="24"/>
        </w:rPr>
        <w:t>截面：</w:t>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(详见工程量清单)</w:t>
      </w:r>
    </w:p>
    <w:p w14:paraId="102AD2C9">
      <w:pPr>
        <w:ind w:firstLine="420" w:firstLineChars="0"/>
        <w:rPr>
          <w:rFonts w:hint="eastAsia" w:asciiTheme="minorEastAsia" w:hAnsiTheme="minorEastAsia"/>
          <w:sz w:val="24"/>
          <w:szCs w:val="24"/>
        </w:rPr>
      </w:pPr>
      <w:r>
        <w:rPr>
          <w:rFonts w:hint="eastAsia" w:asciiTheme="minorEastAsia" w:hAnsiTheme="minorEastAsia"/>
          <w:sz w:val="24"/>
          <w:szCs w:val="24"/>
        </w:rPr>
        <w:t>芯数：</w:t>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ab/>
      </w:r>
      <w:r>
        <w:rPr>
          <w:rFonts w:hint="eastAsia" w:asciiTheme="minorEastAsia" w:hAnsiTheme="minorEastAsia"/>
          <w:sz w:val="24"/>
          <w:szCs w:val="24"/>
        </w:rPr>
        <w:t>(详见工程量清单)</w:t>
      </w:r>
    </w:p>
    <w:p w14:paraId="65156D9B">
      <w:pPr>
        <w:ind w:firstLine="420" w:firstLineChars="0"/>
        <w:rPr>
          <w:rFonts w:hint="eastAsia" w:asciiTheme="minorEastAsia" w:hAnsiTheme="minorEastAsia"/>
          <w:sz w:val="24"/>
          <w:szCs w:val="24"/>
        </w:rPr>
      </w:pPr>
      <w:r>
        <w:rPr>
          <w:rFonts w:hint="eastAsia" w:asciiTheme="minorEastAsia" w:hAnsiTheme="minorEastAsia"/>
          <w:sz w:val="24"/>
          <w:szCs w:val="24"/>
        </w:rPr>
        <w:t>缆芯采用以下规定的色标加以标识：</w:t>
      </w:r>
    </w:p>
    <w:p w14:paraId="2041EDC9">
      <w:pPr>
        <w:ind w:firstLine="420" w:firstLineChars="0"/>
        <w:rPr>
          <w:rFonts w:hint="eastAsia" w:asciiTheme="minorEastAsia" w:hAnsiTheme="minorEastAsia"/>
          <w:sz w:val="24"/>
          <w:szCs w:val="24"/>
        </w:rPr>
      </w:pPr>
      <w:r>
        <w:rPr>
          <w:rFonts w:hint="eastAsia" w:asciiTheme="minorEastAsia" w:hAnsiTheme="minorEastAsia"/>
          <w:sz w:val="24"/>
          <w:szCs w:val="24"/>
        </w:rPr>
        <w:t>A－黄   B－绿   C－红  N－黑  PE－黄绿相间</w:t>
      </w:r>
    </w:p>
    <w:p w14:paraId="6EE7D478">
      <w:pPr>
        <w:ind w:firstLine="420" w:firstLineChars="0"/>
        <w:rPr>
          <w:rFonts w:hint="eastAsia" w:asciiTheme="minorEastAsia" w:hAnsiTheme="minorEastAsia"/>
          <w:sz w:val="24"/>
          <w:szCs w:val="24"/>
        </w:rPr>
      </w:pPr>
      <w:r>
        <w:rPr>
          <w:rFonts w:hint="eastAsia" w:asciiTheme="minorEastAsia" w:hAnsiTheme="minorEastAsia"/>
          <w:sz w:val="24"/>
          <w:szCs w:val="24"/>
        </w:rPr>
        <w:t>4）其它技术要求</w:t>
      </w:r>
    </w:p>
    <w:p w14:paraId="2305FDBE">
      <w:pPr>
        <w:ind w:firstLine="420" w:firstLineChars="0"/>
        <w:rPr>
          <w:rFonts w:hint="eastAsia" w:asciiTheme="minorEastAsia" w:hAnsiTheme="minorEastAsia"/>
          <w:sz w:val="24"/>
          <w:szCs w:val="24"/>
        </w:rPr>
      </w:pPr>
      <w:r>
        <w:rPr>
          <w:rFonts w:hint="eastAsia" w:asciiTheme="minorEastAsia" w:hAnsiTheme="minorEastAsia"/>
          <w:sz w:val="24"/>
          <w:szCs w:val="24"/>
        </w:rPr>
        <w:t>各种型号、规格电缆同时须满足以下要求：</w:t>
      </w:r>
    </w:p>
    <w:p w14:paraId="4A46C5D7">
      <w:pPr>
        <w:ind w:firstLine="420" w:firstLineChars="0"/>
        <w:rPr>
          <w:rFonts w:hint="eastAsia" w:asciiTheme="minorEastAsia" w:hAnsiTheme="minorEastAsia"/>
          <w:sz w:val="24"/>
          <w:szCs w:val="24"/>
        </w:rPr>
      </w:pPr>
      <w:r>
        <w:rPr>
          <w:rFonts w:hint="eastAsia" w:asciiTheme="minorEastAsia" w:hAnsiTheme="minorEastAsia"/>
          <w:sz w:val="24"/>
          <w:szCs w:val="24"/>
        </w:rPr>
        <w:t>a）所有电缆材料、性能、参数均应满足有关电缆规范和标准的要求。</w:t>
      </w:r>
    </w:p>
    <w:p w14:paraId="0C8E001E">
      <w:pPr>
        <w:ind w:firstLine="420" w:firstLineChars="0"/>
        <w:rPr>
          <w:rFonts w:hint="eastAsia" w:asciiTheme="minorEastAsia" w:hAnsiTheme="minorEastAsia"/>
          <w:sz w:val="24"/>
          <w:szCs w:val="24"/>
        </w:rPr>
      </w:pPr>
      <w:r>
        <w:rPr>
          <w:rFonts w:hint="eastAsia" w:asciiTheme="minorEastAsia" w:hAnsiTheme="minorEastAsia"/>
          <w:sz w:val="24"/>
          <w:szCs w:val="24"/>
        </w:rPr>
        <w:t>b）导体表面应光洁、无油污、无损伤屏蔽及绝缘的毛刺、锐边，无凸起或断裂的单线。导体应为圆形并绞合紧压，紧压系数不小于0.9。</w:t>
      </w:r>
    </w:p>
    <w:p w14:paraId="350641DE">
      <w:pPr>
        <w:ind w:firstLine="420" w:firstLineChars="0"/>
        <w:rPr>
          <w:rFonts w:hint="eastAsia" w:asciiTheme="minorEastAsia" w:hAnsiTheme="minorEastAsia"/>
          <w:sz w:val="24"/>
          <w:szCs w:val="24"/>
        </w:rPr>
      </w:pPr>
      <w:r>
        <w:rPr>
          <w:rFonts w:hint="eastAsia" w:asciiTheme="minorEastAsia" w:hAnsiTheme="minorEastAsia"/>
          <w:sz w:val="24"/>
          <w:szCs w:val="24"/>
        </w:rPr>
        <w:t>c）绝缘料采用交联聚乙烯料或聚氯乙烯，绝缘料从生产之日到使用不应超过半年。绝缘应紧密挤包在导体上，绝缘表面应平整，色泽均匀。各截面绝缘标称厚度见GB/T 12706，绝缘厚度平均值最小测量值应不小于标称值。</w:t>
      </w:r>
    </w:p>
    <w:p w14:paraId="41108D50">
      <w:pPr>
        <w:ind w:firstLine="420" w:firstLineChars="0"/>
        <w:rPr>
          <w:rFonts w:hint="eastAsia" w:asciiTheme="minorEastAsia" w:hAnsiTheme="minorEastAsia"/>
          <w:sz w:val="24"/>
          <w:szCs w:val="24"/>
        </w:rPr>
      </w:pPr>
      <w:r>
        <w:rPr>
          <w:rFonts w:hint="eastAsia" w:asciiTheme="minorEastAsia" w:hAnsiTheme="minorEastAsia"/>
          <w:sz w:val="24"/>
          <w:szCs w:val="24"/>
        </w:rPr>
        <w:t>d）金属屏蔽用重叠绕包的软铜带（或软铜丝）组成，电阻率不大于0.0180Ω.m㎡/m(20℃)，绕包连续均匀，平整光滑，没有断裂，铜带间绕包平均搭盖率不小于20％（标称值）。铜带标称厚度为0.10mm，截面大于25m㎡（按管状计算），且三芯屏蔽应接触良好。铜带的最小厚度应不小于标称值的 90%。</w:t>
      </w:r>
    </w:p>
    <w:p w14:paraId="15351489">
      <w:pPr>
        <w:ind w:firstLine="420" w:firstLineChars="0"/>
        <w:rPr>
          <w:rFonts w:hint="eastAsia" w:asciiTheme="minorEastAsia" w:hAnsiTheme="minorEastAsia"/>
          <w:sz w:val="24"/>
          <w:szCs w:val="24"/>
        </w:rPr>
      </w:pPr>
      <w:r>
        <w:rPr>
          <w:rFonts w:hint="eastAsia" w:asciiTheme="minorEastAsia" w:hAnsiTheme="minorEastAsia"/>
          <w:sz w:val="24"/>
          <w:szCs w:val="24"/>
        </w:rPr>
        <w:t>e）缆芯采用与电缆运行温度相适应的非吸湿性聚丙烯撕裂薄膜填充，应紧密无空隙，并保证在成品电缆段附加老化试验后不粉化。成缆后外型应圆整。</w:t>
      </w:r>
    </w:p>
    <w:p w14:paraId="5DF2275E">
      <w:pPr>
        <w:ind w:firstLine="420" w:firstLineChars="0"/>
        <w:rPr>
          <w:rFonts w:hint="eastAsia" w:asciiTheme="minorEastAsia" w:hAnsiTheme="minorEastAsia"/>
          <w:sz w:val="24"/>
          <w:szCs w:val="24"/>
        </w:rPr>
      </w:pPr>
      <w:r>
        <w:rPr>
          <w:rFonts w:hint="eastAsia" w:asciiTheme="minorEastAsia" w:hAnsiTheme="minorEastAsia"/>
          <w:sz w:val="24"/>
          <w:szCs w:val="24"/>
        </w:rPr>
        <w:t>f）隔离套采用挤包型。隔离套厚度平均值不小于标称值，任一点最小厚度应不小于标称值的80%。</w:t>
      </w:r>
    </w:p>
    <w:p w14:paraId="51A5E8B1">
      <w:pPr>
        <w:ind w:firstLine="420" w:firstLineChars="0"/>
        <w:rPr>
          <w:rFonts w:hint="eastAsia" w:asciiTheme="minorEastAsia" w:hAnsiTheme="minorEastAsia"/>
          <w:sz w:val="24"/>
          <w:szCs w:val="24"/>
        </w:rPr>
      </w:pPr>
      <w:r>
        <w:rPr>
          <w:rFonts w:hint="eastAsia" w:asciiTheme="minorEastAsia" w:hAnsiTheme="minorEastAsia"/>
          <w:sz w:val="24"/>
          <w:szCs w:val="24"/>
        </w:rPr>
        <w:t>g）内衬层可以挤包或绕包。</w:t>
      </w:r>
    </w:p>
    <w:p w14:paraId="628C417D">
      <w:pPr>
        <w:ind w:firstLine="420" w:firstLineChars="0"/>
        <w:rPr>
          <w:rFonts w:hint="eastAsia" w:asciiTheme="minorEastAsia" w:hAnsiTheme="minorEastAsia"/>
          <w:sz w:val="24"/>
          <w:szCs w:val="24"/>
        </w:rPr>
      </w:pPr>
      <w:r>
        <w:rPr>
          <w:rFonts w:hint="eastAsia" w:asciiTheme="minorEastAsia" w:hAnsiTheme="minorEastAsia"/>
          <w:sz w:val="24"/>
          <w:szCs w:val="24"/>
        </w:rPr>
        <w:t>h）铠装采用双层热镀锌钢带，螺旋绕包两层，外层钢带的中间大致在内层钢带间隙上方，包带间隙应不大于钢带宽度的50%。</w:t>
      </w:r>
    </w:p>
    <w:p w14:paraId="4249B420">
      <w:pPr>
        <w:ind w:firstLine="420" w:firstLineChars="0"/>
        <w:rPr>
          <w:rFonts w:hint="eastAsia" w:asciiTheme="minorEastAsia" w:hAnsiTheme="minorEastAsia"/>
          <w:sz w:val="24"/>
          <w:szCs w:val="24"/>
        </w:rPr>
      </w:pPr>
      <w:r>
        <w:rPr>
          <w:rFonts w:hint="eastAsia" w:asciiTheme="minorEastAsia" w:hAnsiTheme="minorEastAsia"/>
          <w:sz w:val="24"/>
          <w:szCs w:val="24"/>
        </w:rPr>
        <w:t>i）电缆不圆度应不大于10%。</w:t>
      </w:r>
    </w:p>
    <w:p w14:paraId="7786BC8D">
      <w:pPr>
        <w:ind w:firstLine="420" w:firstLineChars="0"/>
        <w:rPr>
          <w:rFonts w:hint="eastAsia" w:asciiTheme="minorEastAsia" w:hAnsiTheme="minorEastAsia"/>
          <w:sz w:val="24"/>
          <w:szCs w:val="24"/>
        </w:rPr>
      </w:pPr>
      <w:r>
        <w:rPr>
          <w:rFonts w:hint="eastAsia" w:asciiTheme="minorEastAsia" w:hAnsiTheme="minorEastAsia"/>
          <w:sz w:val="24"/>
          <w:szCs w:val="24"/>
        </w:rPr>
        <w:t>j）外护套厚度平均值应不小于标称值，任一点最小厚度应不小于标称值的90%。外护套通常为黑色/红色，但也可以按照制造方和买方协议采用黑色以外的其他颜色，以适应电缆使用的特定环境。外护套应经受 GB/T 3048. 10-2007规定的火花试验。</w:t>
      </w:r>
    </w:p>
    <w:p w14:paraId="5B191627">
      <w:pPr>
        <w:ind w:firstLine="420" w:firstLineChars="0"/>
        <w:rPr>
          <w:rFonts w:hint="eastAsia" w:asciiTheme="minorEastAsia" w:hAnsiTheme="minorEastAsia"/>
          <w:sz w:val="24"/>
          <w:szCs w:val="24"/>
        </w:rPr>
      </w:pPr>
      <w:r>
        <w:rPr>
          <w:rFonts w:hint="eastAsia" w:asciiTheme="minorEastAsia" w:hAnsiTheme="minorEastAsia"/>
          <w:sz w:val="24"/>
          <w:szCs w:val="24"/>
        </w:rPr>
        <w:t>k）采用阻燃电缆时，电缆的阻燃特性和技术参数要求需符合GB/T 19666的相关规定。</w:t>
      </w:r>
    </w:p>
    <w:p w14:paraId="01A2C6E5">
      <w:pPr>
        <w:ind w:firstLine="420" w:firstLineChars="0"/>
        <w:rPr>
          <w:rFonts w:hint="eastAsia" w:asciiTheme="minorEastAsia" w:hAnsiTheme="minorEastAsia"/>
          <w:sz w:val="24"/>
          <w:szCs w:val="24"/>
        </w:rPr>
      </w:pPr>
      <w:r>
        <w:rPr>
          <w:rFonts w:hint="eastAsia" w:asciiTheme="minorEastAsia" w:hAnsiTheme="minorEastAsia"/>
          <w:sz w:val="24"/>
          <w:szCs w:val="24"/>
        </w:rPr>
        <w:t>l）电缆两端应用防水密封套密封，密封套和电缆的重叠长度不小于200mm。</w:t>
      </w:r>
    </w:p>
    <w:p w14:paraId="1306465D">
      <w:pPr>
        <w:ind w:firstLine="420" w:firstLineChars="0"/>
        <w:rPr>
          <w:rFonts w:hint="eastAsia" w:asciiTheme="minorEastAsia" w:hAnsiTheme="minorEastAsia"/>
          <w:sz w:val="24"/>
          <w:szCs w:val="24"/>
        </w:rPr>
      </w:pPr>
      <w:r>
        <w:rPr>
          <w:rFonts w:hint="eastAsia" w:asciiTheme="minorEastAsia" w:hAnsiTheme="minorEastAsia"/>
          <w:sz w:val="24"/>
          <w:szCs w:val="24"/>
        </w:rPr>
        <w:t>m）电缆、电线推荐品牌，相当于以下品牌的中等档次产品的技术规格和质量标准远东、昆仑、宝胜。</w:t>
      </w:r>
    </w:p>
    <w:p w14:paraId="73C79273">
      <w:pPr>
        <w:ind w:firstLine="420" w:firstLineChars="0"/>
        <w:rPr>
          <w:rFonts w:hint="eastAsia" w:asciiTheme="minorEastAsia" w:hAnsiTheme="minorEastAsia"/>
          <w:sz w:val="24"/>
          <w:szCs w:val="24"/>
        </w:rPr>
      </w:pPr>
      <w:r>
        <w:rPr>
          <w:rFonts w:hint="eastAsia" w:asciiTheme="minorEastAsia" w:hAnsiTheme="minorEastAsia"/>
          <w:sz w:val="24"/>
          <w:szCs w:val="24"/>
        </w:rPr>
        <w:t>4.5电缆桥架（包含支吊架配件）技术要求</w:t>
      </w:r>
    </w:p>
    <w:p w14:paraId="4344D593">
      <w:pPr>
        <w:ind w:firstLine="420" w:firstLineChars="0"/>
        <w:rPr>
          <w:rFonts w:hint="eastAsia" w:asciiTheme="minorEastAsia" w:hAnsiTheme="minorEastAsia"/>
          <w:sz w:val="24"/>
          <w:szCs w:val="24"/>
        </w:rPr>
      </w:pPr>
      <w:r>
        <w:rPr>
          <w:rFonts w:hint="eastAsia" w:asciiTheme="minorEastAsia" w:hAnsiTheme="minorEastAsia"/>
          <w:sz w:val="24"/>
          <w:szCs w:val="24"/>
        </w:rPr>
        <w:t>1）电缆桥架的制造、试验、包装、运输除应满足GB/DL/SDL/JB/JG有关规范标准及技术要求</w:t>
      </w:r>
    </w:p>
    <w:p w14:paraId="6E83007D">
      <w:pPr>
        <w:ind w:firstLine="420" w:firstLineChars="0"/>
        <w:rPr>
          <w:rFonts w:hint="eastAsia" w:asciiTheme="minorEastAsia" w:hAnsiTheme="minorEastAsia"/>
          <w:sz w:val="24"/>
          <w:szCs w:val="24"/>
        </w:rPr>
      </w:pPr>
      <w:r>
        <w:rPr>
          <w:rFonts w:hint="eastAsia" w:asciiTheme="minorEastAsia" w:hAnsiTheme="minorEastAsia"/>
          <w:sz w:val="24"/>
          <w:szCs w:val="24"/>
        </w:rPr>
        <w:t>2）热镀锌钢制电缆桥架为封闭式金属槽盒、有孔托盘型（带盖板）和梯级型（带盖板），托盘型底部通风孔面积不大于底部总面积的35%。</w:t>
      </w:r>
    </w:p>
    <w:p w14:paraId="0C999695">
      <w:pPr>
        <w:ind w:firstLine="420" w:firstLineChars="0"/>
        <w:rPr>
          <w:rFonts w:hint="eastAsia" w:asciiTheme="minorEastAsia" w:hAnsiTheme="minorEastAsia"/>
          <w:sz w:val="24"/>
          <w:szCs w:val="24"/>
        </w:rPr>
      </w:pPr>
      <w:r>
        <w:rPr>
          <w:rFonts w:hint="eastAsia" w:asciiTheme="minorEastAsia" w:hAnsiTheme="minorEastAsia"/>
          <w:sz w:val="24"/>
          <w:szCs w:val="24"/>
        </w:rPr>
        <w:t>3）热镀锌钢制电缆桥架梯边必须为磙压成型，梯边上须有加强筋，以增加桥架承载力。</w:t>
      </w:r>
    </w:p>
    <w:p w14:paraId="2662C26A">
      <w:pPr>
        <w:ind w:firstLine="420" w:firstLineChars="0"/>
        <w:rPr>
          <w:rFonts w:hint="eastAsia" w:asciiTheme="minorEastAsia" w:hAnsiTheme="minorEastAsia"/>
          <w:sz w:val="24"/>
          <w:szCs w:val="24"/>
        </w:rPr>
      </w:pPr>
      <w:r>
        <w:rPr>
          <w:rFonts w:hint="eastAsia" w:asciiTheme="minorEastAsia" w:hAnsiTheme="minorEastAsia"/>
          <w:sz w:val="24"/>
          <w:szCs w:val="24"/>
        </w:rPr>
        <w:t>4）桥架之间连接采用单内侧连接方式，连接片须带有加强筋，增加桥架连接强度。</w:t>
      </w:r>
    </w:p>
    <w:p w14:paraId="16C087A5">
      <w:pPr>
        <w:ind w:firstLine="420" w:firstLineChars="0"/>
        <w:rPr>
          <w:rFonts w:hint="eastAsia" w:asciiTheme="minorEastAsia" w:hAnsiTheme="minorEastAsia"/>
          <w:sz w:val="24"/>
          <w:szCs w:val="24"/>
        </w:rPr>
      </w:pPr>
      <w:r>
        <w:rPr>
          <w:rFonts w:hint="eastAsia" w:asciiTheme="minorEastAsia" w:hAnsiTheme="minorEastAsia"/>
          <w:sz w:val="24"/>
          <w:szCs w:val="24"/>
        </w:rPr>
        <w:t>5）对于梯式桥架，横担须采用敞开式π型横担，避免热镀锌死角。</w:t>
      </w:r>
    </w:p>
    <w:p w14:paraId="09D6A7FF">
      <w:pPr>
        <w:ind w:firstLine="420" w:firstLineChars="0"/>
        <w:rPr>
          <w:rFonts w:hint="eastAsia" w:asciiTheme="minorEastAsia" w:hAnsiTheme="minorEastAsia"/>
          <w:sz w:val="24"/>
          <w:szCs w:val="24"/>
        </w:rPr>
      </w:pPr>
      <w:r>
        <w:rPr>
          <w:rFonts w:hint="eastAsia" w:asciiTheme="minorEastAsia" w:hAnsiTheme="minorEastAsia"/>
          <w:sz w:val="24"/>
          <w:szCs w:val="24"/>
        </w:rPr>
        <w:t>6）桥架与盖板须用旋转式锁扣连接，方便现场安装。</w:t>
      </w:r>
    </w:p>
    <w:p w14:paraId="164F3924">
      <w:pPr>
        <w:ind w:firstLine="420" w:firstLineChars="0"/>
        <w:rPr>
          <w:rFonts w:hint="eastAsia" w:asciiTheme="minorEastAsia" w:hAnsiTheme="minorEastAsia"/>
          <w:sz w:val="24"/>
          <w:szCs w:val="24"/>
        </w:rPr>
      </w:pPr>
      <w:r>
        <w:rPr>
          <w:rFonts w:hint="eastAsia" w:asciiTheme="minorEastAsia" w:hAnsiTheme="minorEastAsia"/>
          <w:sz w:val="24"/>
          <w:szCs w:val="24"/>
        </w:rPr>
        <w:t>7）电缆桥架及支架产品应通过国家认可的质量检测机构检测与认证。</w:t>
      </w:r>
    </w:p>
    <w:p w14:paraId="456D33F2">
      <w:pPr>
        <w:ind w:firstLine="420" w:firstLineChars="0"/>
        <w:rPr>
          <w:rFonts w:hint="eastAsia" w:asciiTheme="minorEastAsia" w:hAnsiTheme="minorEastAsia"/>
          <w:sz w:val="24"/>
          <w:szCs w:val="24"/>
        </w:rPr>
      </w:pPr>
      <w:r>
        <w:rPr>
          <w:rFonts w:hint="eastAsia" w:asciiTheme="minorEastAsia" w:hAnsiTheme="minorEastAsia"/>
          <w:sz w:val="24"/>
          <w:szCs w:val="24"/>
        </w:rPr>
        <w:t>8）直通单件标准长度为2m。</w:t>
      </w:r>
    </w:p>
    <w:p w14:paraId="68DB06A9">
      <w:pPr>
        <w:ind w:firstLine="420" w:firstLineChars="0"/>
        <w:rPr>
          <w:rFonts w:hint="eastAsia" w:asciiTheme="minorEastAsia" w:hAnsiTheme="minorEastAsia"/>
          <w:sz w:val="24"/>
          <w:szCs w:val="24"/>
        </w:rPr>
      </w:pPr>
      <w:r>
        <w:rPr>
          <w:rFonts w:hint="eastAsia" w:asciiTheme="minorEastAsia" w:hAnsiTheme="minorEastAsia"/>
          <w:sz w:val="24"/>
          <w:szCs w:val="24"/>
        </w:rPr>
        <w:t>9）除特别注明外，封闭式金属槽盒、电缆托盘、梯架材质应采用冷轧板，其材质应符合标准《碳素结构钢》GB/T 700-2006中Q235A的要求。</w:t>
      </w:r>
    </w:p>
    <w:p w14:paraId="0DC5D12D">
      <w:pPr>
        <w:ind w:firstLine="420" w:firstLineChars="0"/>
        <w:rPr>
          <w:rFonts w:hint="eastAsia" w:asciiTheme="minorEastAsia" w:hAnsiTheme="minorEastAsia"/>
          <w:sz w:val="24"/>
          <w:szCs w:val="24"/>
        </w:rPr>
      </w:pPr>
      <w:r>
        <w:rPr>
          <w:rFonts w:hint="eastAsia" w:asciiTheme="minorEastAsia" w:hAnsiTheme="minorEastAsia"/>
          <w:sz w:val="24"/>
          <w:szCs w:val="24"/>
        </w:rPr>
        <w:t>10）封闭式金属槽盒、普通托盘和梯架、新型连接托盘和节能轻质高强托盘和梯架板材的最小允许厚度应分别符合CECS31:2006中表3.6.2-1~3所列数值。</w:t>
      </w:r>
    </w:p>
    <w:p w14:paraId="770C12CC">
      <w:pPr>
        <w:ind w:firstLine="420" w:firstLineChars="0"/>
        <w:rPr>
          <w:rFonts w:hint="eastAsia" w:asciiTheme="minorEastAsia" w:hAnsiTheme="minorEastAsia"/>
          <w:sz w:val="24"/>
          <w:szCs w:val="24"/>
        </w:rPr>
      </w:pPr>
      <w:r>
        <w:rPr>
          <w:rFonts w:hint="eastAsia" w:asciiTheme="minorEastAsia" w:hAnsiTheme="minorEastAsia"/>
          <w:sz w:val="24"/>
          <w:szCs w:val="24"/>
        </w:rPr>
        <w:t>11）电缆桥架主体荷载等级按CECS31:2006中表3.6.6规定进行分级，荷载等级为C级。桥架在承受额定均布荷载时的最大挠度与其跨距之比应不大于1/200，支架间距不大于2米。安装或检修可能有的附加集中荷载按900N考虑。</w:t>
      </w:r>
    </w:p>
    <w:p w14:paraId="634C0EEC">
      <w:pPr>
        <w:ind w:firstLine="420" w:firstLineChars="0"/>
        <w:rPr>
          <w:rFonts w:hint="eastAsia" w:asciiTheme="minorEastAsia" w:hAnsiTheme="minorEastAsia"/>
          <w:sz w:val="24"/>
          <w:szCs w:val="24"/>
        </w:rPr>
      </w:pPr>
      <w:r>
        <w:rPr>
          <w:rFonts w:hint="eastAsia" w:asciiTheme="minorEastAsia" w:hAnsiTheme="minorEastAsia"/>
          <w:sz w:val="24"/>
          <w:szCs w:val="24"/>
        </w:rPr>
        <w:t>12）为了接地可靠，每个单件托盘或梯架之间采用截面不小于70mm２的接地软铜编织线连接。</w:t>
      </w:r>
    </w:p>
    <w:p w14:paraId="70CB8B13">
      <w:pPr>
        <w:ind w:firstLine="420" w:firstLineChars="0"/>
        <w:rPr>
          <w:rFonts w:hint="eastAsia" w:asciiTheme="minorEastAsia" w:hAnsiTheme="minorEastAsia"/>
          <w:sz w:val="24"/>
          <w:szCs w:val="24"/>
        </w:rPr>
      </w:pPr>
      <w:r>
        <w:rPr>
          <w:rFonts w:hint="eastAsia" w:asciiTheme="minorEastAsia" w:hAnsiTheme="minorEastAsia"/>
          <w:sz w:val="24"/>
          <w:szCs w:val="24"/>
        </w:rPr>
        <w:t>13）电缆桥架应具有刚性好、耐腐、耐候性好等特点，以适用于户内外各种环境条件。热热镀锌钢质桥架的人工环境试验项目应按照CECS31:2006中表3.7.2的户内1类进行，不锈钢桥架的人工环境试验项目应按照CECS31:2006中表3.7.2的户内2类进行。热浸热镀锌的质量指标应符合下表规定：</w:t>
      </w:r>
    </w:p>
    <w:p w14:paraId="1D06EC73">
      <w:pPr>
        <w:ind w:firstLine="420" w:firstLineChars="0"/>
        <w:rPr>
          <w:rFonts w:hint="eastAsia" w:asciiTheme="minorEastAsia" w:hAnsiTheme="minorEastAsia"/>
          <w:sz w:val="24"/>
          <w:szCs w:val="24"/>
        </w:rPr>
      </w:pPr>
      <w:r>
        <w:rPr>
          <w:rFonts w:hint="eastAsia" w:asciiTheme="minorEastAsia" w:hAnsiTheme="minorEastAsia"/>
          <w:sz w:val="24"/>
          <w:szCs w:val="24"/>
        </w:rPr>
        <w:t>热浸热镀锌技术质量指标</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478"/>
        <w:gridCol w:w="3096"/>
      </w:tblGrid>
      <w:tr w14:paraId="18FD2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vMerge w:val="restart"/>
            <w:tcBorders>
              <w:top w:val="single" w:color="auto" w:sz="12" w:space="0"/>
              <w:left w:val="single" w:color="auto" w:sz="12" w:space="0"/>
              <w:bottom w:val="single" w:color="auto" w:sz="4" w:space="0"/>
              <w:right w:val="single" w:color="auto" w:sz="4" w:space="0"/>
            </w:tcBorders>
            <w:vAlign w:val="center"/>
          </w:tcPr>
          <w:p w14:paraId="2133243F">
            <w:pPr>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热镀锌厚度（附着量）平均值</w:t>
            </w:r>
          </w:p>
        </w:tc>
        <w:tc>
          <w:tcPr>
            <w:tcW w:w="3478" w:type="dxa"/>
            <w:tcBorders>
              <w:top w:val="single" w:color="auto" w:sz="12" w:space="0"/>
              <w:left w:val="single" w:color="auto" w:sz="4" w:space="0"/>
              <w:bottom w:val="single" w:color="auto" w:sz="4" w:space="0"/>
              <w:right w:val="single" w:color="auto" w:sz="4" w:space="0"/>
            </w:tcBorders>
            <w:vAlign w:val="center"/>
          </w:tcPr>
          <w:p w14:paraId="1DBFF235">
            <w:pPr>
              <w:rPr>
                <w:rFonts w:asciiTheme="minorEastAsia" w:hAnsiTheme="minorEastAsia"/>
                <w:sz w:val="24"/>
                <w:szCs w:val="24"/>
              </w:rPr>
            </w:pPr>
            <w:r>
              <w:rPr>
                <w:rFonts w:hint="eastAsia" w:asciiTheme="minorEastAsia" w:hAnsiTheme="minorEastAsia"/>
                <w:sz w:val="24"/>
                <w:szCs w:val="24"/>
              </w:rPr>
              <w:t>桥</w:t>
            </w:r>
            <w:r>
              <w:rPr>
                <w:rFonts w:asciiTheme="minorEastAsia" w:hAnsiTheme="minorEastAsia"/>
                <w:sz w:val="24"/>
                <w:szCs w:val="24"/>
              </w:rPr>
              <w:t xml:space="preserve"> </w:t>
            </w:r>
            <w:r>
              <w:rPr>
                <w:rFonts w:hint="eastAsia" w:asciiTheme="minorEastAsia" w:hAnsiTheme="minorEastAsia"/>
                <w:sz w:val="24"/>
                <w:szCs w:val="24"/>
              </w:rPr>
              <w:t>架</w:t>
            </w:r>
            <w:r>
              <w:rPr>
                <w:rFonts w:asciiTheme="minorEastAsia" w:hAnsiTheme="minorEastAsia"/>
                <w:sz w:val="24"/>
                <w:szCs w:val="24"/>
              </w:rPr>
              <w:t xml:space="preserve"> </w:t>
            </w:r>
            <w:r>
              <w:rPr>
                <w:rFonts w:hint="eastAsia" w:asciiTheme="minorEastAsia" w:hAnsiTheme="minorEastAsia"/>
                <w:sz w:val="24"/>
                <w:szCs w:val="24"/>
              </w:rPr>
              <w:t>构</w:t>
            </w:r>
            <w:r>
              <w:rPr>
                <w:rFonts w:asciiTheme="minorEastAsia" w:hAnsiTheme="minorEastAsia"/>
                <w:sz w:val="24"/>
                <w:szCs w:val="24"/>
              </w:rPr>
              <w:t xml:space="preserve"> </w:t>
            </w:r>
            <w:r>
              <w:rPr>
                <w:rFonts w:hint="eastAsia" w:asciiTheme="minorEastAsia" w:hAnsiTheme="minorEastAsia"/>
                <w:sz w:val="24"/>
                <w:szCs w:val="24"/>
              </w:rPr>
              <w:t>件</w:t>
            </w:r>
          </w:p>
        </w:tc>
        <w:tc>
          <w:tcPr>
            <w:tcW w:w="3096" w:type="dxa"/>
            <w:tcBorders>
              <w:top w:val="single" w:color="auto" w:sz="12" w:space="0"/>
              <w:left w:val="single" w:color="auto" w:sz="4" w:space="0"/>
              <w:bottom w:val="single" w:color="auto" w:sz="4" w:space="0"/>
              <w:right w:val="single" w:color="auto" w:sz="12" w:space="0"/>
            </w:tcBorders>
            <w:vAlign w:val="center"/>
          </w:tcPr>
          <w:p w14:paraId="019729F4">
            <w:pPr>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65μm(460g/</w:t>
            </w:r>
            <w:r>
              <w:rPr>
                <w:rFonts w:hint="eastAsia" w:asciiTheme="minorEastAsia" w:hAnsiTheme="minorEastAsia"/>
                <w:sz w:val="24"/>
                <w:szCs w:val="24"/>
              </w:rPr>
              <w:t>㎡</w:t>
            </w:r>
            <w:r>
              <w:rPr>
                <w:rFonts w:asciiTheme="minorEastAsia" w:hAnsiTheme="minorEastAsia"/>
                <w:sz w:val="24"/>
                <w:szCs w:val="24"/>
              </w:rPr>
              <w:t>)</w:t>
            </w:r>
          </w:p>
        </w:tc>
      </w:tr>
      <w:tr w14:paraId="07863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vMerge w:val="continue"/>
            <w:tcBorders>
              <w:top w:val="single" w:color="auto" w:sz="12" w:space="0"/>
              <w:left w:val="single" w:color="auto" w:sz="12" w:space="0"/>
              <w:bottom w:val="single" w:color="auto" w:sz="4" w:space="0"/>
              <w:right w:val="single" w:color="auto" w:sz="4" w:space="0"/>
            </w:tcBorders>
            <w:vAlign w:val="center"/>
          </w:tcPr>
          <w:p w14:paraId="6A8CD16B">
            <w:pPr>
              <w:rPr>
                <w:rFonts w:asciiTheme="minorEastAsia" w:hAnsiTheme="minorEastAsia"/>
                <w:sz w:val="24"/>
                <w:szCs w:val="24"/>
              </w:rPr>
            </w:pPr>
          </w:p>
        </w:tc>
        <w:tc>
          <w:tcPr>
            <w:tcW w:w="3478" w:type="dxa"/>
            <w:tcBorders>
              <w:top w:val="single" w:color="auto" w:sz="4" w:space="0"/>
              <w:left w:val="single" w:color="auto" w:sz="4" w:space="0"/>
              <w:bottom w:val="single" w:color="auto" w:sz="4" w:space="0"/>
              <w:right w:val="single" w:color="auto" w:sz="4" w:space="0"/>
            </w:tcBorders>
            <w:vAlign w:val="center"/>
          </w:tcPr>
          <w:p w14:paraId="289E467E">
            <w:pPr>
              <w:rPr>
                <w:rFonts w:asciiTheme="minorEastAsia" w:hAnsiTheme="minorEastAsia"/>
                <w:sz w:val="24"/>
                <w:szCs w:val="24"/>
              </w:rPr>
            </w:pPr>
            <w:r>
              <w:rPr>
                <w:rFonts w:hint="eastAsia" w:asciiTheme="minorEastAsia" w:hAnsiTheme="minorEastAsia"/>
                <w:sz w:val="24"/>
                <w:szCs w:val="24"/>
              </w:rPr>
              <w:t>螺栓及杆件</w:t>
            </w:r>
            <w:r>
              <w:rPr>
                <w:rFonts w:asciiTheme="minorEastAsia" w:hAnsiTheme="minorEastAsia"/>
                <w:sz w:val="24"/>
                <w:szCs w:val="24"/>
              </w:rPr>
              <w:t>(</w:t>
            </w:r>
            <w:r>
              <w:rPr>
                <w:rFonts w:hint="eastAsia" w:asciiTheme="minorEastAsia" w:hAnsiTheme="minorEastAsia"/>
                <w:sz w:val="24"/>
                <w:szCs w:val="24"/>
              </w:rPr>
              <w:t>直径≥</w:t>
            </w:r>
            <w:r>
              <w:rPr>
                <w:rFonts w:asciiTheme="minorEastAsia" w:hAnsiTheme="minorEastAsia"/>
                <w:sz w:val="24"/>
                <w:szCs w:val="24"/>
              </w:rPr>
              <w:t>10mm)</w:t>
            </w:r>
          </w:p>
        </w:tc>
        <w:tc>
          <w:tcPr>
            <w:tcW w:w="3096" w:type="dxa"/>
            <w:tcBorders>
              <w:top w:val="single" w:color="auto" w:sz="4" w:space="0"/>
              <w:left w:val="single" w:color="auto" w:sz="4" w:space="0"/>
              <w:bottom w:val="single" w:color="auto" w:sz="4" w:space="0"/>
              <w:right w:val="single" w:color="auto" w:sz="12" w:space="0"/>
            </w:tcBorders>
            <w:vAlign w:val="center"/>
          </w:tcPr>
          <w:p w14:paraId="0E727C6B">
            <w:pPr>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54μm(380g/</w:t>
            </w:r>
            <w:r>
              <w:rPr>
                <w:rFonts w:hint="eastAsia" w:asciiTheme="minorEastAsia" w:hAnsiTheme="minorEastAsia"/>
                <w:sz w:val="24"/>
                <w:szCs w:val="24"/>
              </w:rPr>
              <w:t>㎡</w:t>
            </w:r>
            <w:r>
              <w:rPr>
                <w:rFonts w:asciiTheme="minorEastAsia" w:hAnsiTheme="minorEastAsia"/>
                <w:sz w:val="24"/>
                <w:szCs w:val="24"/>
              </w:rPr>
              <w:t>)</w:t>
            </w:r>
          </w:p>
        </w:tc>
      </w:tr>
      <w:tr w14:paraId="1C7BE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tcBorders>
              <w:top w:val="single" w:color="auto" w:sz="4" w:space="0"/>
              <w:left w:val="single" w:color="auto" w:sz="12" w:space="0"/>
              <w:bottom w:val="single" w:color="auto" w:sz="4" w:space="0"/>
              <w:right w:val="single" w:color="auto" w:sz="4" w:space="0"/>
            </w:tcBorders>
            <w:vAlign w:val="center"/>
          </w:tcPr>
          <w:p w14:paraId="2638D301">
            <w:pPr>
              <w:rPr>
                <w:rFonts w:asciiTheme="minorEastAsia" w:hAnsiTheme="minorEastAsia"/>
                <w:sz w:val="24"/>
                <w:szCs w:val="24"/>
              </w:rPr>
            </w:pPr>
            <w:r>
              <w:rPr>
                <w:rFonts w:hint="eastAsia" w:asciiTheme="minorEastAsia" w:hAnsiTheme="minorEastAsia"/>
                <w:sz w:val="24"/>
                <w:szCs w:val="24"/>
              </w:rPr>
              <w:t>锌层附着力</w:t>
            </w:r>
          </w:p>
        </w:tc>
        <w:tc>
          <w:tcPr>
            <w:tcW w:w="6574" w:type="dxa"/>
            <w:gridSpan w:val="2"/>
            <w:tcBorders>
              <w:top w:val="single" w:color="auto" w:sz="4" w:space="0"/>
              <w:left w:val="single" w:color="auto" w:sz="4" w:space="0"/>
              <w:bottom w:val="single" w:color="auto" w:sz="4" w:space="0"/>
              <w:right w:val="single" w:color="auto" w:sz="12" w:space="0"/>
            </w:tcBorders>
            <w:vAlign w:val="center"/>
          </w:tcPr>
          <w:p w14:paraId="5D17EDC1">
            <w:pPr>
              <w:rPr>
                <w:rFonts w:asciiTheme="minorEastAsia" w:hAnsiTheme="minorEastAsia"/>
                <w:sz w:val="24"/>
                <w:szCs w:val="24"/>
              </w:rPr>
            </w:pPr>
            <w:r>
              <w:rPr>
                <w:rFonts w:hint="eastAsia" w:asciiTheme="minorEastAsia" w:hAnsiTheme="minorEastAsia"/>
                <w:sz w:val="24"/>
                <w:szCs w:val="24"/>
              </w:rPr>
              <w:t>划格法或锤击法试验，锌层应不剥离、不凸起</w:t>
            </w:r>
          </w:p>
        </w:tc>
      </w:tr>
      <w:tr w14:paraId="629DE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tcBorders>
              <w:top w:val="single" w:color="auto" w:sz="4" w:space="0"/>
              <w:left w:val="single" w:color="auto" w:sz="12" w:space="0"/>
              <w:bottom w:val="single" w:color="auto" w:sz="4" w:space="0"/>
              <w:right w:val="single" w:color="auto" w:sz="4" w:space="0"/>
            </w:tcBorders>
            <w:vAlign w:val="center"/>
          </w:tcPr>
          <w:p w14:paraId="28ED040E">
            <w:pPr>
              <w:rPr>
                <w:rFonts w:asciiTheme="minorEastAsia" w:hAnsiTheme="minorEastAsia"/>
                <w:sz w:val="24"/>
                <w:szCs w:val="24"/>
              </w:rPr>
            </w:pPr>
            <w:r>
              <w:rPr>
                <w:rFonts w:hint="eastAsia" w:asciiTheme="minorEastAsia" w:hAnsiTheme="minorEastAsia"/>
                <w:sz w:val="24"/>
                <w:szCs w:val="24"/>
              </w:rPr>
              <w:t>锌层均匀性</w:t>
            </w:r>
          </w:p>
        </w:tc>
        <w:tc>
          <w:tcPr>
            <w:tcW w:w="6574" w:type="dxa"/>
            <w:gridSpan w:val="2"/>
            <w:tcBorders>
              <w:top w:val="single" w:color="auto" w:sz="4" w:space="0"/>
              <w:left w:val="single" w:color="auto" w:sz="4" w:space="0"/>
              <w:bottom w:val="single" w:color="auto" w:sz="4" w:space="0"/>
              <w:right w:val="single" w:color="auto" w:sz="12" w:space="0"/>
            </w:tcBorders>
            <w:vAlign w:val="center"/>
          </w:tcPr>
          <w:p w14:paraId="5B80BCF6">
            <w:pPr>
              <w:rPr>
                <w:rFonts w:asciiTheme="minorEastAsia" w:hAnsiTheme="minorEastAsia"/>
                <w:sz w:val="24"/>
                <w:szCs w:val="24"/>
              </w:rPr>
            </w:pPr>
            <w:r>
              <w:rPr>
                <w:rFonts w:hint="eastAsia" w:asciiTheme="minorEastAsia" w:hAnsiTheme="minorEastAsia"/>
                <w:sz w:val="24"/>
                <w:szCs w:val="24"/>
              </w:rPr>
              <w:t>硫酸铜试验</w:t>
            </w:r>
            <w:r>
              <w:rPr>
                <w:rFonts w:asciiTheme="minorEastAsia" w:hAnsiTheme="minorEastAsia"/>
                <w:sz w:val="24"/>
                <w:szCs w:val="24"/>
              </w:rPr>
              <w:t>4</w:t>
            </w:r>
            <w:r>
              <w:rPr>
                <w:rFonts w:hint="eastAsia" w:asciiTheme="minorEastAsia" w:hAnsiTheme="minorEastAsia"/>
                <w:sz w:val="24"/>
                <w:szCs w:val="24"/>
              </w:rPr>
              <w:t>次不应露铁</w:t>
            </w:r>
          </w:p>
        </w:tc>
      </w:tr>
      <w:tr w14:paraId="37FCF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tcBorders>
              <w:top w:val="single" w:color="auto" w:sz="4" w:space="0"/>
              <w:left w:val="single" w:color="auto" w:sz="12" w:space="0"/>
              <w:bottom w:val="single" w:color="auto" w:sz="12" w:space="0"/>
              <w:right w:val="single" w:color="auto" w:sz="4" w:space="0"/>
            </w:tcBorders>
            <w:vAlign w:val="center"/>
          </w:tcPr>
          <w:p w14:paraId="09B3A8EB">
            <w:pPr>
              <w:rPr>
                <w:rFonts w:asciiTheme="minorEastAsia" w:hAnsiTheme="minorEastAsia"/>
                <w:sz w:val="24"/>
                <w:szCs w:val="24"/>
              </w:rPr>
            </w:pPr>
            <w:r>
              <w:rPr>
                <w:rFonts w:hint="eastAsia" w:asciiTheme="minorEastAsia" w:hAnsiTheme="minorEastAsia"/>
                <w:sz w:val="24"/>
                <w:szCs w:val="24"/>
              </w:rPr>
              <w:t>外</w:t>
            </w:r>
            <w:r>
              <w:rPr>
                <w:rFonts w:asciiTheme="minorEastAsia" w:hAnsiTheme="minorEastAsia"/>
                <w:sz w:val="24"/>
                <w:szCs w:val="24"/>
              </w:rPr>
              <w:t xml:space="preserve">   </w:t>
            </w:r>
            <w:r>
              <w:rPr>
                <w:rFonts w:hint="eastAsia" w:asciiTheme="minorEastAsia" w:hAnsiTheme="minorEastAsia"/>
                <w:sz w:val="24"/>
                <w:szCs w:val="24"/>
              </w:rPr>
              <w:t>观</w:t>
            </w:r>
          </w:p>
        </w:tc>
        <w:tc>
          <w:tcPr>
            <w:tcW w:w="6574" w:type="dxa"/>
            <w:gridSpan w:val="2"/>
            <w:tcBorders>
              <w:top w:val="single" w:color="auto" w:sz="4" w:space="0"/>
              <w:left w:val="single" w:color="auto" w:sz="4" w:space="0"/>
              <w:bottom w:val="single" w:color="auto" w:sz="12" w:space="0"/>
              <w:right w:val="single" w:color="auto" w:sz="12" w:space="0"/>
            </w:tcBorders>
            <w:vAlign w:val="center"/>
          </w:tcPr>
          <w:p w14:paraId="7CE98E2A">
            <w:pPr>
              <w:rPr>
                <w:rFonts w:asciiTheme="minorEastAsia" w:hAnsiTheme="minorEastAsia"/>
                <w:sz w:val="24"/>
                <w:szCs w:val="24"/>
              </w:rPr>
            </w:pPr>
            <w:r>
              <w:rPr>
                <w:rFonts w:hint="eastAsia" w:asciiTheme="minorEastAsia" w:hAnsiTheme="minorEastAsia"/>
                <w:sz w:val="24"/>
                <w:szCs w:val="24"/>
              </w:rPr>
              <w:t>锌层表面应均匀、无毛刺、过烧、挂灰、伤痕、局部未热镀锌（直径</w:t>
            </w:r>
            <w:r>
              <w:rPr>
                <w:rFonts w:asciiTheme="minorEastAsia" w:hAnsiTheme="minorEastAsia"/>
                <w:sz w:val="24"/>
                <w:szCs w:val="24"/>
              </w:rPr>
              <w:t>2mm</w:t>
            </w:r>
            <w:r>
              <w:rPr>
                <w:rFonts w:hint="eastAsia" w:asciiTheme="minorEastAsia" w:hAnsiTheme="minorEastAsia"/>
                <w:sz w:val="24"/>
                <w:szCs w:val="24"/>
              </w:rPr>
              <w:t>以上）等缺陷，不得有影响安装的锌瘤。螺纹的镀层应光滑、螺栓连接件应能拧入</w:t>
            </w:r>
          </w:p>
        </w:tc>
      </w:tr>
    </w:tbl>
    <w:p w14:paraId="24078D80">
      <w:pPr>
        <w:ind w:firstLine="420" w:firstLineChars="0"/>
        <w:rPr>
          <w:rFonts w:asciiTheme="minorEastAsia" w:hAnsiTheme="minorEastAsia"/>
          <w:sz w:val="24"/>
          <w:szCs w:val="24"/>
        </w:rPr>
      </w:pPr>
      <w:r>
        <w:rPr>
          <w:rFonts w:hint="eastAsia" w:asciiTheme="minorEastAsia" w:hAnsiTheme="minorEastAsia"/>
          <w:sz w:val="24"/>
          <w:szCs w:val="24"/>
        </w:rPr>
        <w:t>14）桥架表面应平整光洁，工作表面不应有损伤电缆绝缘层的毛刺锐边等缺陷。</w:t>
      </w:r>
    </w:p>
    <w:p w14:paraId="35C87746">
      <w:pPr>
        <w:ind w:firstLine="420" w:firstLineChars="0"/>
        <w:rPr>
          <w:rFonts w:hint="eastAsia" w:asciiTheme="minorEastAsia" w:hAnsiTheme="minorEastAsia"/>
          <w:sz w:val="24"/>
          <w:szCs w:val="24"/>
        </w:rPr>
      </w:pPr>
      <w:r>
        <w:rPr>
          <w:rFonts w:hint="eastAsia" w:asciiTheme="minorEastAsia" w:hAnsiTheme="minorEastAsia"/>
          <w:sz w:val="24"/>
          <w:szCs w:val="24"/>
        </w:rPr>
        <w:t>15）桥架长度超过30m时，设有伸缩节，电缆桥架跨越建筑变形缝处设置补偿装置。伸缩节应有可靠的电气连接。</w:t>
      </w:r>
    </w:p>
    <w:p w14:paraId="2CD10E5C">
      <w:pPr>
        <w:ind w:firstLine="420" w:firstLineChars="0"/>
        <w:rPr>
          <w:rFonts w:hint="eastAsia" w:asciiTheme="minorEastAsia" w:hAnsiTheme="minorEastAsia"/>
          <w:sz w:val="24"/>
          <w:szCs w:val="24"/>
        </w:rPr>
      </w:pPr>
      <w:r>
        <w:rPr>
          <w:rFonts w:hint="eastAsia" w:asciiTheme="minorEastAsia" w:hAnsiTheme="minorEastAsia"/>
          <w:sz w:val="24"/>
          <w:szCs w:val="24"/>
        </w:rPr>
        <w:t>16）连接板、连接螺栓等受力附件，应与托盘、托臂等本体结构强度相适应。</w:t>
      </w:r>
    </w:p>
    <w:p w14:paraId="6E0ABDA3">
      <w:pPr>
        <w:ind w:firstLine="420" w:firstLineChars="0"/>
        <w:rPr>
          <w:rFonts w:hint="eastAsia" w:asciiTheme="minorEastAsia" w:hAnsiTheme="minorEastAsia"/>
          <w:sz w:val="24"/>
          <w:szCs w:val="24"/>
        </w:rPr>
      </w:pPr>
      <w:r>
        <w:rPr>
          <w:rFonts w:hint="eastAsia" w:asciiTheme="minorEastAsia" w:hAnsiTheme="minorEastAsia"/>
          <w:sz w:val="24"/>
          <w:szCs w:val="24"/>
        </w:rPr>
        <w:t>17）电缆沟内的电缆架具体布置及制作安装应按相关技施图纸要求进行，电缆支架应采用50×5角钢或强度不低于此的型钢，制作完成后在厂内需经热热镀锌处理。</w:t>
      </w:r>
    </w:p>
    <w:p w14:paraId="3518E222">
      <w:pPr>
        <w:ind w:firstLine="420" w:firstLineChars="0"/>
        <w:rPr>
          <w:rFonts w:hint="eastAsia" w:asciiTheme="minorEastAsia" w:hAnsiTheme="minorEastAsia"/>
          <w:sz w:val="24"/>
          <w:szCs w:val="24"/>
        </w:rPr>
      </w:pPr>
      <w:r>
        <w:rPr>
          <w:rFonts w:hint="eastAsia" w:asciiTheme="minorEastAsia" w:hAnsiTheme="minorEastAsia"/>
          <w:sz w:val="24"/>
          <w:szCs w:val="24"/>
        </w:rPr>
        <w:t>18）电缆桥架及支架、吊架结构，应满足强度、刚度及稳定性的要求。荷载等级按CECS31:2006第3.6.6规定进行分级，荷载等级为B级。在承受额定均布荷载时的最大挠度与其跨距之比应不大于1/200，水平和垂直敷设时支架间距不应大于2米。</w:t>
      </w:r>
    </w:p>
    <w:p w14:paraId="79663ADF">
      <w:pPr>
        <w:ind w:firstLine="420" w:firstLineChars="0"/>
        <w:rPr>
          <w:rFonts w:hint="eastAsia" w:asciiTheme="minorEastAsia" w:hAnsiTheme="minorEastAsia"/>
          <w:sz w:val="24"/>
          <w:szCs w:val="24"/>
        </w:rPr>
      </w:pPr>
      <w:r>
        <w:rPr>
          <w:rFonts w:hint="eastAsia" w:asciiTheme="minorEastAsia" w:hAnsiTheme="minorEastAsia"/>
          <w:sz w:val="24"/>
          <w:szCs w:val="24"/>
        </w:rPr>
        <w:t>19）所有钢制件均需经热热镀锌处理，电缆架构件的热热镀锌厚度不小于65μm，螺栓及杆件(直径≥10mm) 热热镀锌厚度不小于54μm。</w:t>
      </w:r>
    </w:p>
    <w:p w14:paraId="19D0C2B5">
      <w:pPr>
        <w:ind w:firstLine="420" w:firstLineChars="0"/>
        <w:rPr>
          <w:rFonts w:hint="eastAsia" w:asciiTheme="minorEastAsia" w:hAnsiTheme="minorEastAsia"/>
          <w:sz w:val="24"/>
          <w:szCs w:val="24"/>
        </w:rPr>
      </w:pPr>
      <w:r>
        <w:rPr>
          <w:rFonts w:hint="eastAsia" w:asciiTheme="minorEastAsia" w:hAnsiTheme="minorEastAsia"/>
          <w:sz w:val="24"/>
          <w:szCs w:val="24"/>
        </w:rPr>
        <w:t>20）桥架的安装支架基本要求</w:t>
      </w:r>
    </w:p>
    <w:p w14:paraId="7E0E77ED">
      <w:pPr>
        <w:ind w:firstLine="420" w:firstLineChars="0"/>
        <w:rPr>
          <w:rFonts w:hint="eastAsia" w:asciiTheme="minorEastAsia" w:hAnsiTheme="minorEastAsia"/>
          <w:sz w:val="24"/>
          <w:szCs w:val="24"/>
        </w:rPr>
      </w:pPr>
      <w:r>
        <w:rPr>
          <w:rFonts w:hint="eastAsia" w:asciiTheme="minorEastAsia" w:hAnsiTheme="minorEastAsia"/>
          <w:sz w:val="24"/>
          <w:szCs w:val="24"/>
        </w:rPr>
        <w:t>① 所有桥架的安装支架（包括支吊架、立柱及托臂等）均为钢质材料。各种型式支、吊架，应能承受桥架主体的额定均布荷载及其自重。</w:t>
      </w:r>
    </w:p>
    <w:p w14:paraId="610BDF4C">
      <w:pPr>
        <w:ind w:firstLine="420" w:firstLineChars="0"/>
        <w:rPr>
          <w:rFonts w:hint="eastAsia" w:asciiTheme="minorEastAsia" w:hAnsiTheme="minorEastAsia"/>
          <w:sz w:val="24"/>
          <w:szCs w:val="24"/>
        </w:rPr>
      </w:pPr>
      <w:r>
        <w:rPr>
          <w:rFonts w:hint="eastAsia" w:asciiTheme="minorEastAsia" w:hAnsiTheme="minorEastAsia"/>
          <w:sz w:val="24"/>
          <w:szCs w:val="24"/>
        </w:rPr>
        <w:t>② 安装支架（包括支吊架、立柱及托臂等）应采用热浸热镀锌防腐处理，热镀锌厚度不小于65μm。所有支架及托臂应进行机加工并保证断面、开孔平整无毛刺，加工完成后进行酸洗之后方能进行防腐处理和热热镀锌。所有不锈钢桥架的连接螺栓材质应为不锈钢材质。</w:t>
      </w:r>
    </w:p>
    <w:p w14:paraId="47390AB5">
      <w:pPr>
        <w:ind w:firstLine="420" w:firstLineChars="0"/>
        <w:rPr>
          <w:rFonts w:hint="eastAsia" w:asciiTheme="minorEastAsia" w:hAnsiTheme="minorEastAsia"/>
          <w:sz w:val="24"/>
          <w:szCs w:val="24"/>
        </w:rPr>
      </w:pPr>
      <w:r>
        <w:rPr>
          <w:rFonts w:hint="eastAsia" w:asciiTheme="minorEastAsia" w:hAnsiTheme="minorEastAsia"/>
          <w:sz w:val="24"/>
          <w:szCs w:val="24"/>
        </w:rPr>
        <w:t>③ 所有立柱长度应根据桥架的布置图纸进行详细的统计设计，专业厂家应进行详细设计。立柱顶端装置的底座开有4个13*20的椭孔用于膨胀螺栓固定。</w:t>
      </w:r>
    </w:p>
    <w:p w14:paraId="65133DD7">
      <w:pPr>
        <w:ind w:firstLine="420" w:firstLineChars="0"/>
        <w:rPr>
          <w:rFonts w:hint="eastAsia" w:asciiTheme="minorEastAsia" w:hAnsiTheme="minorEastAsia"/>
          <w:sz w:val="24"/>
          <w:szCs w:val="24"/>
        </w:rPr>
      </w:pPr>
      <w:r>
        <w:rPr>
          <w:rFonts w:hint="eastAsia" w:asciiTheme="minorEastAsia" w:hAnsiTheme="minorEastAsia"/>
          <w:sz w:val="24"/>
          <w:szCs w:val="24"/>
        </w:rPr>
        <w:t>④ 所有桥架的托臂与立柱等的连接必须采用螺栓连接并具有上下调节的裕度。不得采用现场焊接方式。</w:t>
      </w:r>
    </w:p>
    <w:p w14:paraId="1130BDA7">
      <w:pPr>
        <w:ind w:firstLine="420" w:firstLineChars="0"/>
        <w:rPr>
          <w:rFonts w:hint="eastAsia" w:asciiTheme="minorEastAsia" w:hAnsiTheme="minorEastAsia"/>
          <w:sz w:val="24"/>
          <w:szCs w:val="24"/>
        </w:rPr>
      </w:pPr>
      <w:r>
        <w:rPr>
          <w:rFonts w:hint="eastAsia" w:asciiTheme="minorEastAsia" w:hAnsiTheme="minorEastAsia"/>
          <w:sz w:val="24"/>
          <w:szCs w:val="24"/>
        </w:rPr>
        <w:t>2.11.7配电柜（箱）、控制柜设备安装、调试、验收技术要求</w:t>
      </w:r>
    </w:p>
    <w:p w14:paraId="568A3D48">
      <w:pPr>
        <w:ind w:firstLine="420" w:firstLineChars="0"/>
        <w:rPr>
          <w:rFonts w:hint="eastAsia" w:asciiTheme="minorEastAsia" w:hAnsiTheme="minorEastAsia"/>
          <w:sz w:val="24"/>
          <w:szCs w:val="24"/>
        </w:rPr>
      </w:pPr>
      <w:r>
        <w:rPr>
          <w:rFonts w:hint="eastAsia" w:asciiTheme="minorEastAsia" w:hAnsiTheme="minorEastAsia"/>
          <w:sz w:val="24"/>
          <w:szCs w:val="24"/>
        </w:rPr>
        <w:t>1）设备要求</w:t>
      </w:r>
    </w:p>
    <w:p w14:paraId="10583707">
      <w:pPr>
        <w:ind w:firstLine="420" w:firstLineChars="0"/>
        <w:rPr>
          <w:rFonts w:hint="eastAsia" w:asciiTheme="minorEastAsia" w:hAnsiTheme="minorEastAsia"/>
          <w:sz w:val="24"/>
          <w:szCs w:val="24"/>
        </w:rPr>
      </w:pPr>
      <w:r>
        <w:rPr>
          <w:rFonts w:hint="eastAsia" w:asciiTheme="minorEastAsia" w:hAnsiTheme="minorEastAsia"/>
          <w:sz w:val="24"/>
          <w:szCs w:val="24"/>
        </w:rPr>
        <w:t>a）柜（箱）本体外观检查应无损伤及变形，油漆完整无损。柜（箱）内部检查：电器装置及元件、绝缘瓷件齐全，无损伤、裂纹等缺陷。</w:t>
      </w:r>
    </w:p>
    <w:p w14:paraId="1DCA89E7">
      <w:pPr>
        <w:ind w:firstLine="420" w:firstLineChars="0"/>
        <w:rPr>
          <w:rFonts w:hint="eastAsia" w:asciiTheme="minorEastAsia" w:hAnsiTheme="minorEastAsia"/>
          <w:sz w:val="24"/>
          <w:szCs w:val="24"/>
        </w:rPr>
      </w:pPr>
      <w:r>
        <w:rPr>
          <w:rFonts w:hint="eastAsia" w:asciiTheme="minorEastAsia" w:hAnsiTheme="minorEastAsia"/>
          <w:sz w:val="24"/>
          <w:szCs w:val="24"/>
        </w:rPr>
        <w:t>b）安装前应核对配电箱编号是否与安装位置相符，按设计图纸检查其箱号、箱内回路号。箱门接地应采用软铜编织线，专用接线端子。箱内接线应整齐，满足设计要求及验收规范（GB50303）的规定。</w:t>
      </w:r>
    </w:p>
    <w:p w14:paraId="16DA396E">
      <w:pPr>
        <w:ind w:firstLine="420" w:firstLineChars="0"/>
        <w:rPr>
          <w:rFonts w:hint="eastAsia" w:asciiTheme="minorEastAsia" w:hAnsiTheme="minorEastAsia"/>
          <w:sz w:val="24"/>
          <w:szCs w:val="24"/>
        </w:rPr>
      </w:pPr>
      <w:r>
        <w:rPr>
          <w:rFonts w:hint="eastAsia" w:asciiTheme="minorEastAsia" w:hAnsiTheme="minorEastAsia"/>
          <w:sz w:val="24"/>
          <w:szCs w:val="24"/>
        </w:rPr>
        <w:t>2）作业条件</w:t>
      </w:r>
    </w:p>
    <w:p w14:paraId="5D5B8776">
      <w:pPr>
        <w:rPr>
          <w:rFonts w:hint="eastAsia" w:asciiTheme="minorEastAsia" w:hAnsiTheme="minorEastAsia"/>
          <w:sz w:val="24"/>
          <w:szCs w:val="24"/>
        </w:rPr>
      </w:pPr>
      <w:r>
        <w:rPr>
          <w:rFonts w:hint="eastAsia" w:asciiTheme="minorEastAsia" w:hAnsiTheme="minorEastAsia"/>
          <w:sz w:val="24"/>
          <w:szCs w:val="24"/>
        </w:rPr>
        <w:t>配电箱安装场所土建应具备内粉刷完成、门窗已装好的基本条件。预埋管道及预埋件均应清理好；场地具备运输条件，保持道路平整畅通。</w:t>
      </w:r>
    </w:p>
    <w:p w14:paraId="215BE92F">
      <w:pPr>
        <w:ind w:firstLine="420" w:firstLineChars="0"/>
        <w:rPr>
          <w:rFonts w:hint="eastAsia" w:asciiTheme="minorEastAsia" w:hAnsiTheme="minorEastAsia"/>
          <w:sz w:val="24"/>
          <w:szCs w:val="24"/>
        </w:rPr>
      </w:pPr>
      <w:r>
        <w:rPr>
          <w:rFonts w:hint="eastAsia" w:asciiTheme="minorEastAsia" w:hAnsiTheme="minorEastAsia"/>
          <w:sz w:val="24"/>
          <w:szCs w:val="24"/>
        </w:rPr>
        <w:t>3）配电箱定位：根据设计要求现场确定配电箱位置以及现场实际设备安装情况，按照箱的外形尺寸进行弹线定位。</w:t>
      </w:r>
    </w:p>
    <w:p w14:paraId="7DC14EA3">
      <w:pPr>
        <w:ind w:firstLine="420" w:firstLineChars="0"/>
        <w:rPr>
          <w:rFonts w:hint="eastAsia" w:asciiTheme="minorEastAsia" w:hAnsiTheme="minorEastAsia"/>
          <w:sz w:val="24"/>
          <w:szCs w:val="24"/>
        </w:rPr>
      </w:pPr>
      <w:r>
        <w:rPr>
          <w:rFonts w:hint="eastAsia" w:asciiTheme="minorEastAsia" w:hAnsiTheme="minorEastAsia"/>
          <w:sz w:val="24"/>
          <w:szCs w:val="24"/>
        </w:rPr>
        <w:t>4）基础型钢安装</w:t>
      </w:r>
    </w:p>
    <w:p w14:paraId="5F2CFE79">
      <w:pPr>
        <w:ind w:firstLine="420" w:firstLineChars="0"/>
        <w:rPr>
          <w:rFonts w:hint="eastAsia" w:asciiTheme="minorEastAsia" w:hAnsiTheme="minorEastAsia"/>
          <w:sz w:val="24"/>
          <w:szCs w:val="24"/>
        </w:rPr>
      </w:pPr>
      <w:r>
        <w:rPr>
          <w:rFonts w:hint="eastAsia" w:asciiTheme="minorEastAsia" w:hAnsiTheme="minorEastAsia"/>
          <w:sz w:val="24"/>
          <w:szCs w:val="24"/>
        </w:rPr>
        <w:t>a）按图纸要求预制加工基础型钢架，并做好防腐处理，按施工图纸所标位置，将预制好的基础型钢架放在预留铁件上，找平、找正后将基础型钢架、预埋铁件、垫片用电焊焊牢。最终基础型钢顶部宜高出抹平地面10mm。</w:t>
      </w:r>
    </w:p>
    <w:p w14:paraId="6FDDB8D3">
      <w:pPr>
        <w:ind w:firstLine="420" w:firstLineChars="0"/>
        <w:rPr>
          <w:rFonts w:hint="eastAsia" w:asciiTheme="minorEastAsia" w:hAnsiTheme="minorEastAsia"/>
          <w:sz w:val="24"/>
          <w:szCs w:val="24"/>
        </w:rPr>
      </w:pPr>
      <w:r>
        <w:rPr>
          <w:rFonts w:hint="eastAsia" w:asciiTheme="minorEastAsia" w:hAnsiTheme="minorEastAsia"/>
          <w:sz w:val="24"/>
          <w:szCs w:val="24"/>
        </w:rPr>
        <w:t>b）基础型钢接地：基础型钢安装完毕后，应将接地线与基础型钢的两端焊牢，焊接面为扁钢宽度的二倍，然后与柜接地排可靠连接。并做好防腐处理。</w:t>
      </w:r>
    </w:p>
    <w:p w14:paraId="498DDA29">
      <w:pPr>
        <w:ind w:firstLine="420" w:firstLineChars="0"/>
        <w:rPr>
          <w:rFonts w:hint="eastAsia" w:asciiTheme="minorEastAsia" w:hAnsiTheme="minorEastAsia"/>
          <w:sz w:val="24"/>
          <w:szCs w:val="24"/>
        </w:rPr>
      </w:pPr>
      <w:r>
        <w:rPr>
          <w:rFonts w:hint="eastAsia" w:asciiTheme="minorEastAsia" w:hAnsiTheme="minorEastAsia"/>
          <w:sz w:val="24"/>
          <w:szCs w:val="24"/>
        </w:rPr>
        <w:t>5）配电柜（箱）安装</w:t>
      </w:r>
    </w:p>
    <w:p w14:paraId="1B0CB09C">
      <w:pPr>
        <w:ind w:firstLine="420" w:firstLineChars="0"/>
        <w:rPr>
          <w:rFonts w:hint="eastAsia" w:asciiTheme="minorEastAsia" w:hAnsiTheme="minorEastAsia"/>
          <w:sz w:val="24"/>
          <w:szCs w:val="24"/>
        </w:rPr>
      </w:pPr>
      <w:r>
        <w:rPr>
          <w:rFonts w:hint="eastAsia" w:asciiTheme="minorEastAsia" w:hAnsiTheme="minorEastAsia"/>
          <w:sz w:val="24"/>
          <w:szCs w:val="24"/>
        </w:rPr>
        <w:t>a）柜（箱）安装：应按施工图的布置，将配电柜按照顺序逐一就位在基础型钢上。单独柜（箱）进行柜面和侧面的垂直度的调整可用加垫铁的方法解决，但不可超过三片，并焊接牢固。成列柜（箱）各台就位后，应对柜的水平度及盘面偏差进行调整，应调整到符合施工规范的规定。</w:t>
      </w:r>
    </w:p>
    <w:p w14:paraId="622F2882">
      <w:pPr>
        <w:ind w:firstLine="420" w:firstLineChars="0"/>
        <w:rPr>
          <w:rFonts w:hint="eastAsia" w:asciiTheme="minorEastAsia" w:hAnsiTheme="minorEastAsia"/>
          <w:sz w:val="24"/>
          <w:szCs w:val="24"/>
        </w:rPr>
      </w:pPr>
      <w:r>
        <w:rPr>
          <w:rFonts w:hint="eastAsia" w:asciiTheme="minorEastAsia" w:hAnsiTheme="minorEastAsia"/>
          <w:sz w:val="24"/>
          <w:szCs w:val="24"/>
        </w:rPr>
        <w:t>b）挂墙式的配电箱可采用膨胀螺栓固定在墙上，但空心砖或砌块墙上要预埋燕尾螺栓或采用对拉螺栓进行固定。</w:t>
      </w:r>
    </w:p>
    <w:p w14:paraId="351DD537">
      <w:pPr>
        <w:ind w:firstLine="420" w:firstLineChars="0"/>
        <w:rPr>
          <w:rFonts w:hint="eastAsia" w:asciiTheme="minorEastAsia" w:hAnsiTheme="minorEastAsia"/>
          <w:sz w:val="24"/>
          <w:szCs w:val="24"/>
        </w:rPr>
      </w:pPr>
      <w:r>
        <w:rPr>
          <w:rFonts w:hint="eastAsia" w:asciiTheme="minorEastAsia" w:hAnsiTheme="minorEastAsia"/>
          <w:sz w:val="24"/>
          <w:szCs w:val="24"/>
        </w:rPr>
        <w:t>c）安装配电箱应预埋套箱，安装后面板应与墙面平。</w:t>
      </w:r>
    </w:p>
    <w:p w14:paraId="14D0B4BF">
      <w:pPr>
        <w:ind w:firstLine="420" w:firstLineChars="0"/>
        <w:rPr>
          <w:rFonts w:hint="eastAsia" w:asciiTheme="minorEastAsia" w:hAnsiTheme="minorEastAsia"/>
          <w:sz w:val="24"/>
          <w:szCs w:val="24"/>
        </w:rPr>
      </w:pPr>
      <w:r>
        <w:rPr>
          <w:rFonts w:hint="eastAsia" w:asciiTheme="minorEastAsia" w:hAnsiTheme="minorEastAsia"/>
          <w:sz w:val="24"/>
          <w:szCs w:val="24"/>
        </w:rPr>
        <w:t>d）柜（箱）调整结束后，应用螺栓将柜体与基础型钢进行紧固。</w:t>
      </w:r>
    </w:p>
    <w:p w14:paraId="25CD5597">
      <w:pPr>
        <w:ind w:firstLine="420" w:firstLineChars="0"/>
        <w:rPr>
          <w:rFonts w:hint="eastAsia" w:asciiTheme="minorEastAsia" w:hAnsiTheme="minorEastAsia"/>
          <w:sz w:val="24"/>
          <w:szCs w:val="24"/>
        </w:rPr>
      </w:pPr>
      <w:r>
        <w:rPr>
          <w:rFonts w:hint="eastAsia" w:asciiTheme="minorEastAsia" w:hAnsiTheme="minorEastAsia"/>
          <w:sz w:val="24"/>
          <w:szCs w:val="24"/>
        </w:rPr>
        <w:t>e）柜（箱）接地：每台柜（箱）单独与基础型钢连接，可采用铜线将柜内PE排与接地螺栓可靠联结，并必须加弹簧垫圈进行防松处理。每扇柜门应分别用铜编织线与PE排可靠联结。  </w:t>
      </w:r>
    </w:p>
    <w:p w14:paraId="276C95E7">
      <w:pPr>
        <w:ind w:firstLine="420" w:firstLineChars="0"/>
        <w:rPr>
          <w:rFonts w:hint="eastAsia" w:asciiTheme="minorEastAsia" w:hAnsiTheme="minorEastAsia"/>
          <w:sz w:val="24"/>
          <w:szCs w:val="24"/>
        </w:rPr>
      </w:pPr>
      <w:r>
        <w:rPr>
          <w:rFonts w:hint="eastAsia" w:asciiTheme="minorEastAsia" w:hAnsiTheme="minorEastAsia"/>
          <w:sz w:val="24"/>
          <w:szCs w:val="24"/>
        </w:rPr>
        <w:t>f）柜（箱）顶与母线进行连接，注意应采用母线配套扳手按照要求进行紧固，接触面应涂中性凡士林。柜间母排连接时应注意母排是否距离其他器件或壳体太近，并注意相位正确。</w:t>
      </w:r>
    </w:p>
    <w:p w14:paraId="5A7EABFD">
      <w:pPr>
        <w:ind w:firstLine="420" w:firstLineChars="0"/>
        <w:rPr>
          <w:rFonts w:hint="eastAsia" w:asciiTheme="minorEastAsia" w:hAnsiTheme="minorEastAsia"/>
          <w:sz w:val="24"/>
          <w:szCs w:val="24"/>
        </w:rPr>
      </w:pPr>
      <w:r>
        <w:rPr>
          <w:rFonts w:hint="eastAsia" w:asciiTheme="minorEastAsia" w:hAnsiTheme="minorEastAsia"/>
          <w:sz w:val="24"/>
          <w:szCs w:val="24"/>
        </w:rPr>
        <w:t>g）控制回路检查：应检查线路是否因运输等因素而松脱，并逐一进行紧固，电器元件是否损坏。原则上柜（箱）控制线路在出厂时就进行了校验，不应对柜内线路私自进行调整，发现问题应与供应商联系。</w:t>
      </w:r>
    </w:p>
    <w:p w14:paraId="0F2CDB14">
      <w:pPr>
        <w:ind w:firstLine="420" w:firstLineChars="0"/>
        <w:rPr>
          <w:rFonts w:hint="eastAsia" w:asciiTheme="minorEastAsia" w:hAnsiTheme="minorEastAsia"/>
          <w:sz w:val="24"/>
          <w:szCs w:val="24"/>
        </w:rPr>
      </w:pPr>
      <w:r>
        <w:rPr>
          <w:rFonts w:hint="eastAsia" w:asciiTheme="minorEastAsia" w:hAnsiTheme="minorEastAsia"/>
          <w:sz w:val="24"/>
          <w:szCs w:val="24"/>
        </w:rPr>
        <w:t>h）控制线校线后，将每根芯线煨成圆圈，用镀锌螺丝、眼圈、弹簧垫连接在每个端子板上。端子板每侧一般一个端子压一根线，最多不能超过两根，并且两根线间加眼圈。多股线应涮锡，不准有断股。</w:t>
      </w:r>
    </w:p>
    <w:p w14:paraId="0DCE373B">
      <w:pPr>
        <w:ind w:firstLine="420" w:firstLineChars="0"/>
        <w:rPr>
          <w:rFonts w:hint="eastAsia" w:asciiTheme="minorEastAsia" w:hAnsiTheme="minorEastAsia"/>
          <w:sz w:val="24"/>
          <w:szCs w:val="24"/>
        </w:rPr>
      </w:pPr>
      <w:r>
        <w:rPr>
          <w:rFonts w:hint="eastAsia" w:asciiTheme="minorEastAsia" w:hAnsiTheme="minorEastAsia"/>
          <w:sz w:val="24"/>
          <w:szCs w:val="24"/>
        </w:rPr>
        <w:t>6）柜（箱）试验调整</w:t>
      </w:r>
    </w:p>
    <w:p w14:paraId="5E88AE81">
      <w:pPr>
        <w:ind w:firstLine="420" w:firstLineChars="0"/>
        <w:rPr>
          <w:rFonts w:hint="eastAsia" w:asciiTheme="minorEastAsia" w:hAnsiTheme="minorEastAsia"/>
          <w:sz w:val="24"/>
          <w:szCs w:val="24"/>
        </w:rPr>
      </w:pPr>
      <w:r>
        <w:rPr>
          <w:rFonts w:hint="eastAsia" w:asciiTheme="minorEastAsia" w:hAnsiTheme="minorEastAsia"/>
          <w:sz w:val="24"/>
          <w:szCs w:val="24"/>
        </w:rPr>
        <w:t>a）高压试验应由当地供电部门许可的试验单位进行。试验标准符合国家规范、当地供电部门的规定及产品技术资料要求。</w:t>
      </w:r>
    </w:p>
    <w:p w14:paraId="08C19D6F">
      <w:pPr>
        <w:ind w:firstLine="420" w:firstLineChars="0"/>
        <w:rPr>
          <w:rFonts w:hint="eastAsia" w:asciiTheme="minorEastAsia" w:hAnsiTheme="minorEastAsia"/>
          <w:sz w:val="24"/>
          <w:szCs w:val="24"/>
        </w:rPr>
      </w:pPr>
      <w:r>
        <w:rPr>
          <w:rFonts w:hint="eastAsia" w:asciiTheme="minorEastAsia" w:hAnsiTheme="minorEastAsia"/>
          <w:sz w:val="24"/>
          <w:szCs w:val="24"/>
        </w:rPr>
        <w:t>b）试验内容：高压柜框架、母线、避雷器、高压瓷瓶、电压互感器、电流互感器、各类开关等。</w:t>
      </w:r>
    </w:p>
    <w:p w14:paraId="44A78D41">
      <w:pPr>
        <w:ind w:firstLine="420" w:firstLineChars="0"/>
        <w:rPr>
          <w:rFonts w:hint="eastAsia" w:asciiTheme="minorEastAsia" w:hAnsiTheme="minorEastAsia"/>
          <w:sz w:val="24"/>
          <w:szCs w:val="24"/>
        </w:rPr>
      </w:pPr>
      <w:r>
        <w:rPr>
          <w:rFonts w:hint="eastAsia" w:asciiTheme="minorEastAsia" w:hAnsiTheme="minorEastAsia"/>
          <w:sz w:val="24"/>
          <w:szCs w:val="24"/>
        </w:rPr>
        <w:t>c）调整内容：过流继电器调整，时间继电器、信号继电器调整以及机械连锁调整。</w:t>
      </w:r>
    </w:p>
    <w:p w14:paraId="455295FD">
      <w:pPr>
        <w:ind w:firstLine="420" w:firstLineChars="0"/>
        <w:rPr>
          <w:rFonts w:hint="eastAsia" w:asciiTheme="minorEastAsia" w:hAnsiTheme="minorEastAsia"/>
          <w:sz w:val="24"/>
          <w:szCs w:val="24"/>
        </w:rPr>
      </w:pPr>
      <w:r>
        <w:rPr>
          <w:rFonts w:hint="eastAsia" w:asciiTheme="minorEastAsia" w:hAnsiTheme="minorEastAsia"/>
          <w:sz w:val="24"/>
          <w:szCs w:val="24"/>
        </w:rPr>
        <w:t>d）二次控制小线调整及模拟试验，将所有的接线端子螺丝再紧一次。</w:t>
      </w:r>
    </w:p>
    <w:p w14:paraId="091AF9F2">
      <w:pPr>
        <w:ind w:firstLine="420" w:firstLineChars="0"/>
        <w:rPr>
          <w:rFonts w:hint="eastAsia" w:asciiTheme="minorEastAsia" w:hAnsiTheme="minorEastAsia"/>
          <w:sz w:val="24"/>
          <w:szCs w:val="24"/>
        </w:rPr>
      </w:pPr>
      <w:r>
        <w:rPr>
          <w:rFonts w:hint="eastAsia" w:asciiTheme="minorEastAsia" w:hAnsiTheme="minorEastAsia"/>
          <w:sz w:val="24"/>
          <w:szCs w:val="24"/>
        </w:rPr>
        <w:t>e）绝缘测试：用500V绝缘电阻测试仪器在端子板处测试每条回路的电阻，电阻必须大于0.5MΩ。</w:t>
      </w:r>
    </w:p>
    <w:p w14:paraId="671C94C0">
      <w:pPr>
        <w:ind w:firstLine="420" w:firstLineChars="0"/>
        <w:rPr>
          <w:rFonts w:hint="eastAsia" w:asciiTheme="minorEastAsia" w:hAnsiTheme="minorEastAsia"/>
          <w:sz w:val="24"/>
          <w:szCs w:val="24"/>
        </w:rPr>
      </w:pPr>
      <w:r>
        <w:rPr>
          <w:rFonts w:hint="eastAsia" w:asciiTheme="minorEastAsia" w:hAnsiTheme="minorEastAsia"/>
          <w:sz w:val="24"/>
          <w:szCs w:val="24"/>
        </w:rPr>
        <w:t>f）二次小线回路如有晶体管，集成电路、电子元件时，应使用万用表测试回路是否接通。</w:t>
      </w:r>
    </w:p>
    <w:p w14:paraId="2DD81327">
      <w:pPr>
        <w:ind w:firstLine="420" w:firstLineChars="0"/>
        <w:rPr>
          <w:rFonts w:hint="eastAsia" w:asciiTheme="minorEastAsia" w:hAnsiTheme="minorEastAsia"/>
          <w:sz w:val="24"/>
          <w:szCs w:val="24"/>
        </w:rPr>
      </w:pPr>
      <w:r>
        <w:rPr>
          <w:rFonts w:hint="eastAsia" w:asciiTheme="minorEastAsia" w:hAnsiTheme="minorEastAsia"/>
          <w:sz w:val="24"/>
          <w:szCs w:val="24"/>
        </w:rPr>
        <w:t>g）接通临时的控制电源和操作电源；将柜（箱）内的控制、操作电源回路熔断器上端相线拆掉，接上临时电源。</w:t>
      </w:r>
    </w:p>
    <w:p w14:paraId="53367AD1">
      <w:pPr>
        <w:ind w:firstLine="420" w:firstLineChars="0"/>
        <w:rPr>
          <w:rFonts w:hint="eastAsia" w:asciiTheme="minorEastAsia" w:hAnsiTheme="minorEastAsia"/>
          <w:sz w:val="24"/>
          <w:szCs w:val="24"/>
        </w:rPr>
      </w:pPr>
      <w:r>
        <w:rPr>
          <w:rFonts w:hint="eastAsia" w:asciiTheme="minorEastAsia" w:hAnsiTheme="minorEastAsia"/>
          <w:sz w:val="24"/>
          <w:szCs w:val="24"/>
        </w:rPr>
        <w:t>h）模拟试验：按图纸要求，分别模拟试验控制、连锁、操作、继电保护和信号动作，正确无误，灵敏可靠。</w:t>
      </w:r>
    </w:p>
    <w:p w14:paraId="699726CC">
      <w:pPr>
        <w:ind w:firstLine="420" w:firstLineChars="0"/>
        <w:rPr>
          <w:rFonts w:hint="eastAsia" w:asciiTheme="minorEastAsia" w:hAnsiTheme="minorEastAsia"/>
          <w:sz w:val="24"/>
          <w:szCs w:val="24"/>
        </w:rPr>
      </w:pPr>
      <w:r>
        <w:rPr>
          <w:rFonts w:hint="eastAsia" w:asciiTheme="minorEastAsia" w:hAnsiTheme="minorEastAsia"/>
          <w:sz w:val="24"/>
          <w:szCs w:val="24"/>
        </w:rPr>
        <w:t>i）拆除临时电源，将被拆除的电源线复位。</w:t>
      </w:r>
    </w:p>
    <w:p w14:paraId="06DBB84A">
      <w:pPr>
        <w:ind w:firstLine="420" w:firstLineChars="0"/>
        <w:rPr>
          <w:rFonts w:hint="eastAsia" w:asciiTheme="minorEastAsia" w:hAnsiTheme="minorEastAsia"/>
          <w:sz w:val="24"/>
          <w:szCs w:val="24"/>
        </w:rPr>
      </w:pPr>
      <w:r>
        <w:rPr>
          <w:rFonts w:hint="eastAsia" w:asciiTheme="minorEastAsia" w:hAnsiTheme="minorEastAsia"/>
          <w:sz w:val="24"/>
          <w:szCs w:val="24"/>
        </w:rPr>
        <w:t>7）送电运行的条件</w:t>
      </w:r>
    </w:p>
    <w:p w14:paraId="1BBB5F82">
      <w:pPr>
        <w:ind w:firstLine="420" w:firstLineChars="0"/>
        <w:rPr>
          <w:rFonts w:hint="eastAsia" w:asciiTheme="minorEastAsia" w:hAnsiTheme="minorEastAsia"/>
          <w:sz w:val="24"/>
          <w:szCs w:val="24"/>
        </w:rPr>
      </w:pPr>
      <w:r>
        <w:rPr>
          <w:rFonts w:hint="eastAsia" w:asciiTheme="minorEastAsia" w:hAnsiTheme="minorEastAsia"/>
          <w:sz w:val="24"/>
          <w:szCs w:val="24"/>
        </w:rPr>
        <w:t>a）安装作业应全部完毕，质量检查部门检查全部合格。试验项目全部合格，并有试验报告单。</w:t>
      </w:r>
    </w:p>
    <w:p w14:paraId="2426C15F">
      <w:pPr>
        <w:ind w:firstLine="420" w:firstLineChars="0"/>
        <w:rPr>
          <w:rFonts w:hint="eastAsia" w:asciiTheme="minorEastAsia" w:hAnsiTheme="minorEastAsia"/>
          <w:sz w:val="24"/>
          <w:szCs w:val="24"/>
        </w:rPr>
      </w:pPr>
      <w:r>
        <w:rPr>
          <w:rFonts w:hint="eastAsia" w:asciiTheme="minorEastAsia" w:hAnsiTheme="minorEastAsia"/>
          <w:sz w:val="24"/>
          <w:szCs w:val="24"/>
        </w:rPr>
        <w:t>b）试验用的的验电器、绝缘靴、绝缘手套、临时接地编织铜线、绝缘胶垫、粉沫灭火器等应备齐。</w:t>
      </w:r>
    </w:p>
    <w:p w14:paraId="7949974B">
      <w:pPr>
        <w:ind w:firstLine="420" w:firstLineChars="0"/>
        <w:rPr>
          <w:rFonts w:hint="eastAsia" w:asciiTheme="minorEastAsia" w:hAnsiTheme="minorEastAsia"/>
          <w:sz w:val="24"/>
          <w:szCs w:val="24"/>
        </w:rPr>
      </w:pPr>
      <w:r>
        <w:rPr>
          <w:rFonts w:hint="eastAsia" w:asciiTheme="minorEastAsia" w:hAnsiTheme="minorEastAsia"/>
          <w:sz w:val="24"/>
          <w:szCs w:val="24"/>
        </w:rPr>
        <w:t>c）检查母线、设备上有无遗留下的杂物。</w:t>
      </w:r>
    </w:p>
    <w:p w14:paraId="7CE1798A">
      <w:pPr>
        <w:ind w:firstLine="420" w:firstLineChars="0"/>
        <w:rPr>
          <w:rFonts w:hint="eastAsia" w:asciiTheme="minorEastAsia" w:hAnsiTheme="minorEastAsia"/>
          <w:sz w:val="24"/>
          <w:szCs w:val="24"/>
        </w:rPr>
      </w:pPr>
      <w:r>
        <w:rPr>
          <w:rFonts w:hint="eastAsia" w:asciiTheme="minorEastAsia" w:hAnsiTheme="minorEastAsia"/>
          <w:sz w:val="24"/>
          <w:szCs w:val="24"/>
        </w:rPr>
        <w:t>d）做好试运行的组织工作，明确试运行指挥人，操作人和监护人。</w:t>
      </w:r>
    </w:p>
    <w:p w14:paraId="553922E1">
      <w:pPr>
        <w:ind w:firstLine="420" w:firstLineChars="0"/>
        <w:rPr>
          <w:rFonts w:hint="eastAsia" w:asciiTheme="minorEastAsia" w:hAnsiTheme="minorEastAsia"/>
          <w:sz w:val="24"/>
          <w:szCs w:val="24"/>
        </w:rPr>
      </w:pPr>
      <w:r>
        <w:rPr>
          <w:rFonts w:hint="eastAsia" w:asciiTheme="minorEastAsia" w:hAnsiTheme="minorEastAsia"/>
          <w:sz w:val="24"/>
          <w:szCs w:val="24"/>
        </w:rPr>
        <w:t>e）清扫设备及变配电室、控制室的灰尘。用吸尘器清扫电器、仪表元件。</w:t>
      </w:r>
    </w:p>
    <w:p w14:paraId="569BE113">
      <w:pPr>
        <w:ind w:firstLine="420" w:firstLineChars="0"/>
        <w:rPr>
          <w:rFonts w:hint="eastAsia" w:asciiTheme="minorEastAsia" w:hAnsiTheme="minorEastAsia"/>
          <w:sz w:val="24"/>
          <w:szCs w:val="24"/>
        </w:rPr>
      </w:pPr>
      <w:r>
        <w:rPr>
          <w:rFonts w:hint="eastAsia" w:asciiTheme="minorEastAsia" w:hAnsiTheme="minorEastAsia"/>
          <w:sz w:val="24"/>
          <w:szCs w:val="24"/>
        </w:rPr>
        <w:t>f）继电保护动作灵敏可靠，控制、连锁、信号等动作准确无误。</w:t>
      </w:r>
    </w:p>
    <w:p w14:paraId="00547A21">
      <w:pPr>
        <w:ind w:firstLine="420" w:firstLineChars="0"/>
        <w:rPr>
          <w:rFonts w:hint="eastAsia" w:asciiTheme="minorEastAsia" w:hAnsiTheme="minorEastAsia"/>
          <w:sz w:val="24"/>
          <w:szCs w:val="24"/>
        </w:rPr>
      </w:pPr>
      <w:r>
        <w:rPr>
          <w:rFonts w:hint="eastAsia" w:asciiTheme="minorEastAsia" w:hAnsiTheme="minorEastAsia"/>
          <w:sz w:val="24"/>
          <w:szCs w:val="24"/>
        </w:rPr>
        <w:t>8）送电</w:t>
      </w:r>
    </w:p>
    <w:p w14:paraId="7B1004DB">
      <w:pPr>
        <w:ind w:firstLine="420" w:firstLineChars="0"/>
        <w:rPr>
          <w:rFonts w:hint="eastAsia" w:asciiTheme="minorEastAsia" w:hAnsiTheme="minorEastAsia"/>
          <w:sz w:val="24"/>
          <w:szCs w:val="24"/>
        </w:rPr>
      </w:pPr>
      <w:r>
        <w:rPr>
          <w:rFonts w:hint="eastAsia" w:asciiTheme="minorEastAsia" w:hAnsiTheme="minorEastAsia"/>
          <w:sz w:val="24"/>
          <w:szCs w:val="24"/>
        </w:rPr>
        <w:t>a）由供电部门检查合格后，将电源送进建筑物内，经过验电、校相无误。</w:t>
      </w:r>
    </w:p>
    <w:p w14:paraId="269F9090">
      <w:pPr>
        <w:ind w:firstLine="420" w:firstLineChars="0"/>
        <w:rPr>
          <w:rFonts w:hint="eastAsia" w:asciiTheme="minorEastAsia" w:hAnsiTheme="minorEastAsia"/>
          <w:sz w:val="24"/>
          <w:szCs w:val="24"/>
        </w:rPr>
      </w:pPr>
      <w:r>
        <w:rPr>
          <w:rFonts w:hint="eastAsia" w:asciiTheme="minorEastAsia" w:hAnsiTheme="minorEastAsia"/>
          <w:sz w:val="24"/>
          <w:szCs w:val="24"/>
        </w:rPr>
        <w:t>b）由安装单位合进线柜开关，检查PT柜上电压表三相是否电压正常。</w:t>
      </w:r>
    </w:p>
    <w:p w14:paraId="3310E594">
      <w:pPr>
        <w:ind w:firstLine="420" w:firstLineChars="0"/>
        <w:rPr>
          <w:rFonts w:hint="eastAsia" w:asciiTheme="minorEastAsia" w:hAnsiTheme="minorEastAsia"/>
          <w:sz w:val="24"/>
          <w:szCs w:val="24"/>
        </w:rPr>
      </w:pPr>
      <w:r>
        <w:rPr>
          <w:rFonts w:hint="eastAsia" w:asciiTheme="minorEastAsia" w:hAnsiTheme="minorEastAsia"/>
          <w:sz w:val="24"/>
          <w:szCs w:val="24"/>
        </w:rPr>
        <w:t>c）合变压器柜开关，检查变压器是否有电。</w:t>
      </w:r>
    </w:p>
    <w:p w14:paraId="3551F1B2">
      <w:pPr>
        <w:ind w:firstLine="420" w:firstLineChars="0"/>
        <w:rPr>
          <w:rFonts w:hint="eastAsia" w:asciiTheme="minorEastAsia" w:hAnsiTheme="minorEastAsia"/>
          <w:sz w:val="24"/>
          <w:szCs w:val="24"/>
        </w:rPr>
      </w:pPr>
      <w:r>
        <w:rPr>
          <w:rFonts w:hint="eastAsia" w:asciiTheme="minorEastAsia" w:hAnsiTheme="minorEastAsia"/>
          <w:sz w:val="24"/>
          <w:szCs w:val="24"/>
        </w:rPr>
        <w:t>d）合低压柜进线开关，查看电压表三相是否电压正常。</w:t>
      </w:r>
    </w:p>
    <w:p w14:paraId="22B23179">
      <w:pPr>
        <w:ind w:firstLine="420" w:firstLineChars="0"/>
        <w:rPr>
          <w:rFonts w:hint="eastAsia" w:asciiTheme="minorEastAsia" w:hAnsiTheme="minorEastAsia"/>
          <w:sz w:val="24"/>
          <w:szCs w:val="24"/>
        </w:rPr>
      </w:pPr>
      <w:r>
        <w:rPr>
          <w:rFonts w:hint="eastAsia" w:asciiTheme="minorEastAsia" w:hAnsiTheme="minorEastAsia"/>
          <w:sz w:val="24"/>
          <w:szCs w:val="24"/>
        </w:rPr>
        <w:t>e）按以上顺序依次送电。</w:t>
      </w:r>
    </w:p>
    <w:p w14:paraId="42B8E7C9">
      <w:pPr>
        <w:ind w:firstLine="420" w:firstLineChars="0"/>
        <w:rPr>
          <w:rFonts w:hint="eastAsia" w:asciiTheme="minorEastAsia" w:hAnsiTheme="minorEastAsia"/>
          <w:sz w:val="24"/>
          <w:szCs w:val="24"/>
        </w:rPr>
      </w:pPr>
      <w:r>
        <w:rPr>
          <w:rFonts w:hint="eastAsia" w:asciiTheme="minorEastAsia" w:hAnsiTheme="minorEastAsia"/>
          <w:sz w:val="24"/>
          <w:szCs w:val="24"/>
        </w:rPr>
        <w:t>f）在低压联络柜内，在开关的上下侧（开关未合状态）进行同相校核。用电压表或万用表电压档500V，用表的两个测针，分别接触两路的同相，此时电压表无读数，表示两路电同一相。用同样方法，检查其他两相。</w:t>
      </w:r>
    </w:p>
    <w:p w14:paraId="394D05DA">
      <w:pPr>
        <w:ind w:firstLine="420" w:firstLineChars="0"/>
        <w:rPr>
          <w:rFonts w:hint="eastAsia" w:asciiTheme="minorEastAsia" w:hAnsiTheme="minorEastAsia"/>
          <w:sz w:val="24"/>
          <w:szCs w:val="24"/>
        </w:rPr>
      </w:pPr>
      <w:r>
        <w:rPr>
          <w:rFonts w:hint="eastAsia" w:asciiTheme="minorEastAsia" w:hAnsiTheme="minorEastAsia"/>
          <w:sz w:val="24"/>
          <w:szCs w:val="24"/>
        </w:rPr>
        <w:t>g）验收：送电空载运行24h，无异常现象、办理验收手续，交建设单位使用。同时提交变更洽商记录、产品合格证、说明书、试验报告单等技术资料。</w:t>
      </w:r>
    </w:p>
    <w:p w14:paraId="5B59DD58">
      <w:pPr>
        <w:ind w:firstLine="420" w:firstLineChars="0"/>
        <w:rPr>
          <w:rFonts w:hint="eastAsia" w:asciiTheme="minorEastAsia" w:hAnsiTheme="minorEastAsia"/>
          <w:sz w:val="24"/>
          <w:szCs w:val="24"/>
        </w:rPr>
      </w:pPr>
      <w:r>
        <w:rPr>
          <w:rFonts w:hint="eastAsia" w:asciiTheme="minorEastAsia" w:hAnsiTheme="minorEastAsia"/>
          <w:sz w:val="24"/>
          <w:szCs w:val="24"/>
        </w:rPr>
        <w:t>4.6照明系统安装</w:t>
      </w:r>
    </w:p>
    <w:p w14:paraId="29895044">
      <w:pPr>
        <w:ind w:firstLine="420" w:firstLineChars="0"/>
        <w:rPr>
          <w:rFonts w:hint="eastAsia" w:asciiTheme="minorEastAsia" w:hAnsiTheme="minorEastAsia"/>
          <w:sz w:val="24"/>
          <w:szCs w:val="24"/>
        </w:rPr>
      </w:pPr>
      <w:r>
        <w:rPr>
          <w:rFonts w:hint="eastAsia" w:asciiTheme="minorEastAsia" w:hAnsiTheme="minorEastAsia"/>
          <w:sz w:val="24"/>
          <w:szCs w:val="24"/>
        </w:rPr>
        <w:t>1）照明系统安装工程包括本合同范围内照明箱、永久照明灯具安装；照明电缆电线及管路敷设等。包括正常照明系统以及应急照明系统。</w:t>
      </w:r>
    </w:p>
    <w:p w14:paraId="5E15676C">
      <w:pPr>
        <w:ind w:firstLine="420" w:firstLineChars="0"/>
        <w:rPr>
          <w:rFonts w:hint="eastAsia" w:asciiTheme="minorEastAsia" w:hAnsiTheme="minorEastAsia"/>
          <w:sz w:val="24"/>
          <w:szCs w:val="24"/>
        </w:rPr>
      </w:pPr>
      <w:r>
        <w:rPr>
          <w:rFonts w:hint="eastAsia" w:asciiTheme="minorEastAsia" w:hAnsiTheme="minorEastAsia"/>
          <w:sz w:val="24"/>
          <w:szCs w:val="24"/>
        </w:rPr>
        <w:t>2）照明系统的安装应符合施工安装图纸及GB50303、GB50148以及 GB50171的规定，确保接地可靠。</w:t>
      </w:r>
    </w:p>
    <w:p w14:paraId="172BA1EA">
      <w:pPr>
        <w:ind w:firstLine="420" w:firstLineChars="0"/>
        <w:rPr>
          <w:rFonts w:hint="eastAsia" w:asciiTheme="minorEastAsia" w:hAnsiTheme="minorEastAsia"/>
          <w:sz w:val="24"/>
          <w:szCs w:val="24"/>
        </w:rPr>
      </w:pPr>
      <w:r>
        <w:rPr>
          <w:rFonts w:hint="eastAsia" w:asciiTheme="minorEastAsia" w:hAnsiTheme="minorEastAsia"/>
          <w:sz w:val="24"/>
          <w:szCs w:val="24"/>
        </w:rPr>
        <w:t>3）照明管路的埋设应符合施工安装图纸要求，埋设位置正确，电缆导管的弯曲半径符合规范要求。金属导管严禁对口熔焊连接、镀锌和壁厚小于等于2mm的钢导管不得套管熔焊连接。金属导管按规范规定作防腐处理，所有管口应作保护。</w:t>
      </w:r>
    </w:p>
    <w:p w14:paraId="2EB38DF6">
      <w:pPr>
        <w:ind w:firstLine="420" w:firstLineChars="0"/>
        <w:rPr>
          <w:rFonts w:hint="eastAsia" w:asciiTheme="minorEastAsia" w:hAnsiTheme="minorEastAsia"/>
          <w:sz w:val="24"/>
          <w:szCs w:val="24"/>
        </w:rPr>
      </w:pPr>
      <w:r>
        <w:rPr>
          <w:rFonts w:hint="eastAsia" w:asciiTheme="minorEastAsia" w:hAnsiTheme="minorEastAsia"/>
          <w:sz w:val="24"/>
          <w:szCs w:val="24"/>
        </w:rPr>
        <w:t>4）配线前，应进行各回路的绝缘检查，绝缘电阻值应符合现行国家标准的有关规定，并作好记录。电线、电缆的回路标记、编号应清晰、准确。</w:t>
      </w:r>
    </w:p>
    <w:p w14:paraId="78A8B751">
      <w:pPr>
        <w:ind w:firstLine="420" w:firstLineChars="0"/>
        <w:rPr>
          <w:rFonts w:hint="eastAsia" w:asciiTheme="minorEastAsia" w:hAnsiTheme="minorEastAsia"/>
          <w:sz w:val="24"/>
          <w:szCs w:val="24"/>
        </w:rPr>
      </w:pPr>
      <w:r>
        <w:rPr>
          <w:rFonts w:hint="eastAsia" w:asciiTheme="minorEastAsia" w:hAnsiTheme="minorEastAsia"/>
          <w:sz w:val="24"/>
          <w:szCs w:val="24"/>
        </w:rPr>
        <w:t>5）检查、试验和验收。照明系统安装完毕后，应按供货商技术文件、施工安装图纸及GB50303、GB50259规定，并按本章相关条款要求，进行检查、试验和验收。</w:t>
      </w:r>
    </w:p>
    <w:p w14:paraId="5C2A8090">
      <w:pPr>
        <w:ind w:firstLine="420" w:firstLineChars="0"/>
        <w:rPr>
          <w:rFonts w:hint="eastAsia" w:asciiTheme="minorEastAsia" w:hAnsiTheme="minorEastAsia"/>
          <w:sz w:val="24"/>
          <w:szCs w:val="24"/>
        </w:rPr>
      </w:pPr>
      <w:r>
        <w:rPr>
          <w:rFonts w:hint="eastAsia" w:asciiTheme="minorEastAsia" w:hAnsiTheme="minorEastAsia"/>
          <w:sz w:val="24"/>
          <w:szCs w:val="24"/>
        </w:rPr>
        <w:t>4.7电缆线路安装</w:t>
      </w:r>
    </w:p>
    <w:p w14:paraId="632198D8">
      <w:pPr>
        <w:ind w:firstLine="420" w:firstLineChars="0"/>
        <w:rPr>
          <w:rFonts w:hint="eastAsia" w:asciiTheme="minorEastAsia" w:hAnsiTheme="minorEastAsia"/>
          <w:sz w:val="24"/>
          <w:szCs w:val="24"/>
        </w:rPr>
      </w:pPr>
      <w:r>
        <w:rPr>
          <w:rFonts w:hint="eastAsia" w:asciiTheme="minorEastAsia" w:hAnsiTheme="minorEastAsia"/>
          <w:sz w:val="24"/>
          <w:szCs w:val="24"/>
        </w:rPr>
        <w:t>1）在电缆敷设工程开始前，承包人应按施工图纸和供货商技术文件编制电缆统计清册和敷设路径图，提交监理人。</w:t>
      </w:r>
    </w:p>
    <w:p w14:paraId="7267A565">
      <w:pPr>
        <w:ind w:firstLine="420" w:firstLineChars="0"/>
        <w:rPr>
          <w:rFonts w:hint="eastAsia" w:asciiTheme="minorEastAsia" w:hAnsiTheme="minorEastAsia"/>
          <w:sz w:val="24"/>
          <w:szCs w:val="24"/>
        </w:rPr>
      </w:pPr>
      <w:r>
        <w:rPr>
          <w:rFonts w:hint="eastAsia" w:asciiTheme="minorEastAsia" w:hAnsiTheme="minorEastAsia"/>
          <w:sz w:val="24"/>
          <w:szCs w:val="24"/>
        </w:rPr>
        <w:t>2）电缆管、支架的加工、安装；电缆敷设及电缆终端与接头制作除应满足施工安装图纸和GB50168规定外，还应严格按照供货商技术文件的要求进行。电缆桥架、支架的安装应固定牢固、美观整齐，全长应有良好的接地。</w:t>
      </w:r>
    </w:p>
    <w:p w14:paraId="404A022B">
      <w:pPr>
        <w:ind w:firstLine="420" w:firstLineChars="0"/>
        <w:rPr>
          <w:rFonts w:hint="eastAsia" w:asciiTheme="minorEastAsia" w:hAnsiTheme="minorEastAsia"/>
          <w:sz w:val="24"/>
          <w:szCs w:val="24"/>
        </w:rPr>
      </w:pPr>
      <w:r>
        <w:rPr>
          <w:rFonts w:hint="eastAsia" w:asciiTheme="minorEastAsia" w:hAnsiTheme="minorEastAsia"/>
          <w:sz w:val="24"/>
          <w:szCs w:val="24"/>
        </w:rPr>
        <w:t>3）电缆敷设和配线应满足施工安装图纸及GB50168第5章的规定。当采用机械敷设电缆时，应控制电缆承受的拉力、敷设速度不超过供货商技术文件和GB50168第5.1节的规定。</w:t>
      </w:r>
    </w:p>
    <w:p w14:paraId="159E5C97">
      <w:pPr>
        <w:ind w:firstLine="420" w:firstLineChars="0"/>
        <w:rPr>
          <w:rFonts w:hint="eastAsia" w:asciiTheme="minorEastAsia" w:hAnsiTheme="minorEastAsia"/>
          <w:sz w:val="24"/>
          <w:szCs w:val="24"/>
        </w:rPr>
      </w:pPr>
      <w:r>
        <w:rPr>
          <w:rFonts w:hint="eastAsia" w:asciiTheme="minorEastAsia" w:hAnsiTheme="minorEastAsia"/>
          <w:sz w:val="24"/>
          <w:szCs w:val="24"/>
        </w:rPr>
        <w:t>4）直埋电缆在直线段每隔50m～100m处、电缆接头处、转弯处、进入建筑物等处，应设置明显的方位标志或标桩；直埋电缆及电缆埋管在回填前，应经隐蔽工程验收合格，并分层夯实。</w:t>
      </w:r>
    </w:p>
    <w:p w14:paraId="7CE17D8B">
      <w:pPr>
        <w:ind w:firstLine="420" w:firstLineChars="0"/>
        <w:rPr>
          <w:rFonts w:hint="eastAsia" w:asciiTheme="minorEastAsia" w:hAnsiTheme="minorEastAsia"/>
          <w:sz w:val="24"/>
          <w:szCs w:val="24"/>
        </w:rPr>
      </w:pPr>
      <w:r>
        <w:rPr>
          <w:rFonts w:hint="eastAsia" w:asciiTheme="minorEastAsia" w:hAnsiTheme="minorEastAsia"/>
          <w:sz w:val="24"/>
          <w:szCs w:val="24"/>
        </w:rPr>
        <w:t>5）电缆终端与接头制作应符合供货商技术文件及GB50168第6.2节的要求.</w:t>
      </w:r>
    </w:p>
    <w:p w14:paraId="37935D7B">
      <w:pPr>
        <w:ind w:firstLine="420" w:firstLineChars="0"/>
        <w:rPr>
          <w:rFonts w:hint="eastAsia" w:asciiTheme="minorEastAsia" w:hAnsiTheme="minorEastAsia"/>
          <w:sz w:val="24"/>
          <w:szCs w:val="24"/>
        </w:rPr>
      </w:pPr>
      <w:r>
        <w:rPr>
          <w:rFonts w:hint="eastAsia" w:asciiTheme="minorEastAsia" w:hAnsiTheme="minorEastAsia"/>
          <w:sz w:val="24"/>
          <w:szCs w:val="24"/>
        </w:rPr>
        <w:t>6）盘、柜安装及电气接线技术要求应遵守GB50171有关规定；导线及电气元件间连接应牢固可靠。</w:t>
      </w:r>
    </w:p>
    <w:p w14:paraId="16C86C18">
      <w:pPr>
        <w:ind w:firstLine="420" w:firstLineChars="0"/>
        <w:rPr>
          <w:rFonts w:hint="eastAsia" w:asciiTheme="minorEastAsia" w:hAnsiTheme="minorEastAsia"/>
          <w:sz w:val="24"/>
          <w:szCs w:val="24"/>
        </w:rPr>
      </w:pPr>
      <w:r>
        <w:rPr>
          <w:rFonts w:hint="eastAsia" w:asciiTheme="minorEastAsia" w:hAnsiTheme="minorEastAsia"/>
          <w:sz w:val="24"/>
          <w:szCs w:val="24"/>
        </w:rPr>
        <w:t>7）铠装电缆的屏蔽层，应按施工安装图纸要求的接地点、接地方式进行可靠接地。</w:t>
      </w:r>
    </w:p>
    <w:p w14:paraId="3E0CEA57">
      <w:pPr>
        <w:ind w:firstLine="420" w:firstLineChars="0"/>
        <w:rPr>
          <w:rFonts w:hint="eastAsia" w:asciiTheme="minorEastAsia" w:hAnsiTheme="minorEastAsia"/>
          <w:sz w:val="24"/>
          <w:szCs w:val="24"/>
        </w:rPr>
      </w:pPr>
      <w:r>
        <w:rPr>
          <w:rFonts w:hint="eastAsia" w:asciiTheme="minorEastAsia" w:hAnsiTheme="minorEastAsia"/>
          <w:sz w:val="24"/>
          <w:szCs w:val="24"/>
        </w:rPr>
        <w:t>8）检查、试验和验收。电缆全部安装完成后，承包人应按施工安装图纸、供货商技术文件及GB50168、GB50169的规定，并按本章相关条款要求进行检查、试验和验收。</w:t>
      </w:r>
    </w:p>
    <w:p w14:paraId="73EF9646">
      <w:pPr>
        <w:ind w:firstLine="420" w:firstLineChars="0"/>
        <w:rPr>
          <w:rFonts w:hint="eastAsia" w:asciiTheme="minorEastAsia" w:hAnsiTheme="minorEastAsia"/>
          <w:sz w:val="24"/>
          <w:szCs w:val="24"/>
        </w:rPr>
      </w:pPr>
      <w:r>
        <w:rPr>
          <w:rFonts w:hint="eastAsia" w:asciiTheme="minorEastAsia" w:hAnsiTheme="minorEastAsia"/>
          <w:sz w:val="24"/>
          <w:szCs w:val="24"/>
        </w:rPr>
        <w:t>4.10接地系统安装</w:t>
      </w:r>
    </w:p>
    <w:p w14:paraId="3486F5FD">
      <w:pPr>
        <w:ind w:firstLine="420" w:firstLineChars="0"/>
        <w:rPr>
          <w:rFonts w:hint="eastAsia" w:asciiTheme="minorEastAsia" w:hAnsiTheme="minorEastAsia"/>
          <w:sz w:val="24"/>
          <w:szCs w:val="24"/>
        </w:rPr>
      </w:pPr>
      <w:r>
        <w:rPr>
          <w:rFonts w:hint="eastAsia" w:asciiTheme="minorEastAsia" w:hAnsiTheme="minorEastAsia"/>
          <w:sz w:val="24"/>
          <w:szCs w:val="24"/>
        </w:rPr>
        <w:t>1）承包人应按施工图纸的要求，负责设备接地及有关接地装置的敷设、连接以及接地体、接地连接件制作。接地体及接地连接件包括镀锌扁钢、铜排、铜铰线、铜覆钢材料、钢制接地端子等。具体敷设地点应与施工图纸相符。</w:t>
      </w:r>
    </w:p>
    <w:p w14:paraId="1428084D">
      <w:pPr>
        <w:ind w:firstLine="420" w:firstLineChars="0"/>
        <w:rPr>
          <w:rFonts w:hint="eastAsia" w:asciiTheme="minorEastAsia" w:hAnsiTheme="minorEastAsia"/>
          <w:sz w:val="24"/>
          <w:szCs w:val="24"/>
        </w:rPr>
      </w:pPr>
      <w:r>
        <w:rPr>
          <w:rFonts w:hint="eastAsia" w:asciiTheme="minorEastAsia" w:hAnsiTheme="minorEastAsia"/>
          <w:sz w:val="24"/>
          <w:szCs w:val="24"/>
        </w:rPr>
        <w:t>2）承包人应按施工图纸及GB50169对接地的要求，在接地装置埋设部分隐蔽前，会同监理人共同检查所有接地装置的埋设质量，做好中间检查及验收记录。发现质量不合格的，承包人应进行修复，并经监理人确认合格签证后，才能进行后序工作。</w:t>
      </w:r>
    </w:p>
    <w:p w14:paraId="7943DEE2">
      <w:pPr>
        <w:ind w:firstLine="420" w:firstLineChars="0"/>
        <w:rPr>
          <w:rFonts w:hint="eastAsia" w:asciiTheme="minorEastAsia" w:hAnsiTheme="minorEastAsia"/>
          <w:sz w:val="24"/>
          <w:szCs w:val="24"/>
        </w:rPr>
      </w:pPr>
      <w:r>
        <w:rPr>
          <w:rFonts w:hint="eastAsia" w:asciiTheme="minorEastAsia" w:hAnsiTheme="minorEastAsia"/>
          <w:sz w:val="24"/>
          <w:szCs w:val="24"/>
        </w:rPr>
        <w:t>3）承包人应按施工图纸要求，完成合同范围内电气设备、设备支架、构架、基础和辅助装置的工作接地、保护接地和防雷接地以及金属结构、金属管路等接地的所有明敷接地线及接地引线的敷设和连接。</w:t>
      </w:r>
    </w:p>
    <w:p w14:paraId="687B341F">
      <w:pPr>
        <w:ind w:firstLine="420" w:firstLineChars="0"/>
        <w:rPr>
          <w:rFonts w:hint="eastAsia" w:asciiTheme="minorEastAsia" w:hAnsiTheme="minorEastAsia"/>
          <w:sz w:val="24"/>
          <w:szCs w:val="24"/>
        </w:rPr>
      </w:pPr>
      <w:r>
        <w:rPr>
          <w:rFonts w:hint="eastAsia" w:asciiTheme="minorEastAsia" w:hAnsiTheme="minorEastAsia"/>
          <w:sz w:val="24"/>
          <w:szCs w:val="24"/>
        </w:rPr>
        <w:t>4）承包人完成全部机电设备的接地连接后，应会同监理人按照施工安装图纸的接地要求，对全部设备的接地进行复查验收，并做好复查验收记录。</w:t>
      </w:r>
    </w:p>
    <w:p w14:paraId="01378DC9">
      <w:pPr>
        <w:ind w:firstLine="420" w:firstLineChars="0"/>
        <w:rPr>
          <w:rFonts w:hint="eastAsia" w:asciiTheme="minorEastAsia" w:hAnsiTheme="minorEastAsia"/>
          <w:sz w:val="24"/>
          <w:szCs w:val="24"/>
        </w:rPr>
      </w:pPr>
      <w:r>
        <w:rPr>
          <w:rFonts w:hint="eastAsia" w:asciiTheme="minorEastAsia" w:hAnsiTheme="minorEastAsia"/>
          <w:sz w:val="24"/>
          <w:szCs w:val="24"/>
        </w:rPr>
        <w:t>5）承包人应按施工安装图纸的要求，完成合同范围内独立避雷线以及屋顶避雷带的安装。</w:t>
      </w:r>
    </w:p>
    <w:p w14:paraId="64C3CB20">
      <w:pPr>
        <w:ind w:firstLine="420" w:firstLineChars="0"/>
        <w:rPr>
          <w:rFonts w:hint="eastAsia" w:asciiTheme="minorEastAsia" w:hAnsiTheme="minorEastAsia"/>
          <w:sz w:val="24"/>
          <w:szCs w:val="24"/>
        </w:rPr>
      </w:pPr>
      <w:r>
        <w:rPr>
          <w:rFonts w:hint="eastAsia" w:asciiTheme="minorEastAsia" w:hAnsiTheme="minorEastAsia"/>
          <w:sz w:val="24"/>
          <w:szCs w:val="24"/>
        </w:rPr>
        <w:t>6）避雷带支架安装应位置准确，水平直线段间距均匀，弯曲段间距不大于0.5m，固定牢固。避雷带与引下线之间的连接应规范，且标识清楚。</w:t>
      </w:r>
    </w:p>
    <w:p w14:paraId="04697329">
      <w:pPr>
        <w:ind w:firstLine="420" w:firstLineChars="0"/>
        <w:rPr>
          <w:rFonts w:hint="eastAsia" w:asciiTheme="minorEastAsia" w:hAnsiTheme="minorEastAsia"/>
          <w:sz w:val="24"/>
          <w:szCs w:val="24"/>
        </w:rPr>
      </w:pPr>
      <w:r>
        <w:rPr>
          <w:rFonts w:hint="eastAsia" w:asciiTheme="minorEastAsia" w:hAnsiTheme="minorEastAsia"/>
          <w:sz w:val="24"/>
          <w:szCs w:val="24"/>
        </w:rPr>
        <w:t>7）承包人应负责对已完工的接地系统接地电阻等进行初步测试，如测试值不能满足施工安装图纸要求时，则应报告监理人，并由监理人会同有关方面采取其他措施，直至满足施工安装图纸要求为止。承包人应按监理人的指示，提交“接地系统初步测试报告”。</w:t>
      </w:r>
    </w:p>
    <w:p w14:paraId="31C8DDA7">
      <w:pPr>
        <w:ind w:firstLine="420" w:firstLineChars="0"/>
        <w:rPr>
          <w:rFonts w:hint="eastAsia" w:asciiTheme="minorEastAsia" w:hAnsiTheme="minorEastAsia"/>
          <w:sz w:val="24"/>
          <w:szCs w:val="24"/>
        </w:rPr>
      </w:pPr>
      <w:r>
        <w:rPr>
          <w:rFonts w:hint="eastAsia" w:asciiTheme="minorEastAsia" w:hAnsiTheme="minorEastAsia"/>
          <w:sz w:val="24"/>
          <w:szCs w:val="24"/>
        </w:rPr>
        <w:t>8）检查、试验和验收。承包人在完成全厂接地系统施工后，应按照GB/T17949.1、DL/T475、GB50169的有关要求对全厂接地系统的接地电阻、接触电位差、跨步电位差以及接地网的连通等进行全面测试，并负责整个接地系统的完善工作，以保证接地系统的安全性和可靠性。承包人应提交“全厂接地系统测试报告”，并按本章第相关条款要求，进行检查、试验和验收。</w:t>
      </w:r>
    </w:p>
    <w:p w14:paraId="2199F99E">
      <w:pPr>
        <w:ind w:firstLine="420" w:firstLineChars="0"/>
        <w:rPr>
          <w:rFonts w:hint="eastAsia" w:asciiTheme="minorEastAsia" w:hAnsiTheme="minorEastAsia"/>
          <w:sz w:val="24"/>
          <w:szCs w:val="24"/>
        </w:rPr>
      </w:pPr>
      <w:r>
        <w:rPr>
          <w:rFonts w:hint="eastAsia" w:asciiTheme="minorEastAsia" w:hAnsiTheme="minorEastAsia"/>
          <w:sz w:val="24"/>
          <w:szCs w:val="24"/>
        </w:rPr>
        <w:t>4.11电缆防火封堵</w:t>
      </w:r>
    </w:p>
    <w:p w14:paraId="7E6EF383">
      <w:pPr>
        <w:ind w:firstLine="420" w:firstLineChars="0"/>
        <w:rPr>
          <w:rFonts w:hint="eastAsia" w:asciiTheme="minorEastAsia" w:hAnsiTheme="minorEastAsia"/>
          <w:sz w:val="24"/>
          <w:szCs w:val="24"/>
        </w:rPr>
      </w:pPr>
      <w:r>
        <w:rPr>
          <w:rFonts w:hint="eastAsia" w:asciiTheme="minorEastAsia" w:hAnsiTheme="minorEastAsia"/>
          <w:sz w:val="24"/>
          <w:szCs w:val="24"/>
        </w:rPr>
        <w:t>1）一般要求。防火封堵材料应符合现行行业标准GA161的要求，并具有防火消防产品准销证的产品。</w:t>
      </w:r>
    </w:p>
    <w:p w14:paraId="5C4B91F1">
      <w:pPr>
        <w:ind w:firstLine="420" w:firstLineChars="0"/>
        <w:rPr>
          <w:rFonts w:hint="eastAsia" w:asciiTheme="minorEastAsia" w:hAnsiTheme="minorEastAsia"/>
          <w:sz w:val="24"/>
          <w:szCs w:val="24"/>
        </w:rPr>
      </w:pPr>
      <w:r>
        <w:rPr>
          <w:rFonts w:hint="eastAsia" w:asciiTheme="minorEastAsia" w:hAnsiTheme="minorEastAsia"/>
          <w:sz w:val="24"/>
          <w:szCs w:val="24"/>
        </w:rPr>
        <w:t>2）电缆防火封堵施工。电缆防火封堵的涂料涂刷、有机堵料施工，以及电缆孔洞、电缆竖井、电缆沟、电缆桥架、电缆穿管和母线（槽）贯穿孔洞等的封堵应遵守施工安装图纸的要求及GB50168第7节的有关规定。</w:t>
      </w:r>
    </w:p>
    <w:p w14:paraId="3062C912">
      <w:pPr>
        <w:ind w:firstLine="420" w:firstLineChars="0"/>
        <w:rPr>
          <w:rFonts w:hint="eastAsia" w:asciiTheme="minorEastAsia" w:hAnsiTheme="minorEastAsia"/>
          <w:sz w:val="24"/>
          <w:szCs w:val="24"/>
        </w:rPr>
      </w:pPr>
      <w:r>
        <w:rPr>
          <w:rFonts w:hint="eastAsia" w:asciiTheme="minorEastAsia" w:hAnsiTheme="minorEastAsia"/>
          <w:sz w:val="24"/>
          <w:szCs w:val="24"/>
        </w:rPr>
        <w:t>3）检查和验收。防火封堵完成后，应按GB50168的规定，按本章相关条款要求进行检查和验收，并必须有当地消防主管部门参加。</w:t>
      </w:r>
    </w:p>
    <w:p w14:paraId="733F125F">
      <w:pPr>
        <w:ind w:firstLine="420" w:firstLineChars="0"/>
        <w:rPr>
          <w:rFonts w:hint="eastAsia" w:asciiTheme="minorEastAsia" w:hAnsiTheme="minorEastAsia"/>
          <w:sz w:val="24"/>
          <w:szCs w:val="24"/>
        </w:rPr>
      </w:pPr>
      <w:r>
        <w:rPr>
          <w:rFonts w:hint="eastAsia" w:asciiTheme="minorEastAsia" w:hAnsiTheme="minorEastAsia"/>
          <w:sz w:val="24"/>
          <w:szCs w:val="24"/>
        </w:rPr>
        <w:t>2.11.12电缆桥架（包含支吊架配件）安装</w:t>
      </w:r>
    </w:p>
    <w:p w14:paraId="4042EE9B">
      <w:pPr>
        <w:ind w:firstLine="420" w:firstLineChars="0"/>
        <w:rPr>
          <w:rFonts w:hint="eastAsia" w:asciiTheme="minorEastAsia" w:hAnsiTheme="minorEastAsia"/>
          <w:sz w:val="24"/>
          <w:szCs w:val="24"/>
        </w:rPr>
      </w:pPr>
      <w:r>
        <w:rPr>
          <w:rFonts w:hint="eastAsia" w:asciiTheme="minorEastAsia" w:hAnsiTheme="minorEastAsia"/>
          <w:sz w:val="24"/>
          <w:szCs w:val="24"/>
        </w:rPr>
        <w:t>1）桥架之间连接采用单内侧连接方式，连接片须带有加强筋，增加桥架连接强度。</w:t>
      </w:r>
    </w:p>
    <w:p w14:paraId="34132C73">
      <w:pPr>
        <w:ind w:firstLine="420" w:firstLineChars="0"/>
        <w:rPr>
          <w:rFonts w:hint="eastAsia" w:asciiTheme="minorEastAsia" w:hAnsiTheme="minorEastAsia"/>
          <w:sz w:val="24"/>
          <w:szCs w:val="24"/>
        </w:rPr>
      </w:pPr>
      <w:r>
        <w:rPr>
          <w:rFonts w:hint="eastAsia" w:asciiTheme="minorEastAsia" w:hAnsiTheme="minorEastAsia"/>
          <w:sz w:val="24"/>
          <w:szCs w:val="24"/>
        </w:rPr>
        <w:t>2）桥架与盖板须用旋转式锁扣连接，方便现场安装。</w:t>
      </w:r>
    </w:p>
    <w:p w14:paraId="78E79045">
      <w:pPr>
        <w:ind w:firstLine="420" w:firstLineChars="0"/>
        <w:rPr>
          <w:rFonts w:hint="eastAsia" w:asciiTheme="minorEastAsia" w:hAnsiTheme="minorEastAsia"/>
          <w:sz w:val="24"/>
          <w:szCs w:val="24"/>
        </w:rPr>
      </w:pPr>
      <w:r>
        <w:rPr>
          <w:rFonts w:hint="eastAsia" w:asciiTheme="minorEastAsia" w:hAnsiTheme="minorEastAsia"/>
          <w:sz w:val="24"/>
          <w:szCs w:val="24"/>
        </w:rPr>
        <w:t>3）电缆桥架主体荷载等级按CECS31:2006中表3.6.6规定进行分级，荷载等级为C级。桥架在承受额定均布荷载时的最大挠度与其跨距之比应不大于1/200，水平和垂直敷设时支架间距不应大于2米。安装或检修可能有的附加集中荷载按900N考虑。</w:t>
      </w:r>
    </w:p>
    <w:p w14:paraId="522E6AC7">
      <w:pPr>
        <w:ind w:firstLine="420" w:firstLineChars="0"/>
        <w:rPr>
          <w:rFonts w:hint="eastAsia" w:asciiTheme="minorEastAsia" w:hAnsiTheme="minorEastAsia"/>
          <w:sz w:val="24"/>
          <w:szCs w:val="24"/>
        </w:rPr>
      </w:pPr>
      <w:r>
        <w:rPr>
          <w:rFonts w:hint="eastAsia" w:asciiTheme="minorEastAsia" w:hAnsiTheme="minorEastAsia"/>
          <w:sz w:val="24"/>
          <w:szCs w:val="24"/>
        </w:rPr>
        <w:t>4）桥架长度超过30m时，设有伸缩节，电缆桥架跨越建筑变形缝处设置补偿装置。伸缩节应有可靠的电气连接。</w:t>
      </w:r>
    </w:p>
    <w:p w14:paraId="64874882">
      <w:pPr>
        <w:ind w:firstLine="420" w:firstLineChars="0"/>
        <w:rPr>
          <w:rFonts w:hint="eastAsia" w:asciiTheme="minorEastAsia" w:hAnsiTheme="minorEastAsia"/>
          <w:sz w:val="24"/>
          <w:szCs w:val="24"/>
        </w:rPr>
      </w:pPr>
      <w:r>
        <w:rPr>
          <w:rFonts w:hint="eastAsia" w:asciiTheme="minorEastAsia" w:hAnsiTheme="minorEastAsia"/>
          <w:sz w:val="24"/>
          <w:szCs w:val="24"/>
        </w:rPr>
        <w:t>5）所有桥架的安装支架（包括支吊架、立柱及托臂等）均为钢质材料。各种型式支、吊架，应能承受桥架主体的额定均布荷载及其自重。</w:t>
      </w:r>
    </w:p>
    <w:p w14:paraId="7BEDF8D3">
      <w:pPr>
        <w:ind w:firstLine="420" w:firstLineChars="0"/>
        <w:rPr>
          <w:rFonts w:hint="eastAsia" w:asciiTheme="minorEastAsia" w:hAnsiTheme="minorEastAsia"/>
          <w:sz w:val="24"/>
          <w:szCs w:val="24"/>
        </w:rPr>
      </w:pPr>
      <w:r>
        <w:rPr>
          <w:rFonts w:hint="eastAsia" w:asciiTheme="minorEastAsia" w:hAnsiTheme="minorEastAsia"/>
          <w:sz w:val="24"/>
          <w:szCs w:val="24"/>
        </w:rPr>
        <w:t>6）安装支架（包括支吊架、立柱及托臂等）应采用热浸热镀锌防腐处理，热镀锌厚度不小于65μm。所有支架及托臂应进行机加工并保证断面、开孔平整无毛刺，加工完成后进行酸洗之后方能进行防腐处理和热热镀锌。所有不锈钢桥架的连接螺栓材质应为不锈钢材质。</w:t>
      </w:r>
    </w:p>
    <w:p w14:paraId="27EF071A">
      <w:pPr>
        <w:ind w:firstLine="420" w:firstLineChars="0"/>
        <w:rPr>
          <w:rFonts w:hint="eastAsia" w:asciiTheme="minorEastAsia" w:hAnsiTheme="minorEastAsia"/>
          <w:sz w:val="24"/>
          <w:szCs w:val="24"/>
        </w:rPr>
      </w:pPr>
      <w:r>
        <w:rPr>
          <w:rFonts w:hint="eastAsia" w:asciiTheme="minorEastAsia" w:hAnsiTheme="minorEastAsia"/>
          <w:sz w:val="24"/>
          <w:szCs w:val="24"/>
        </w:rPr>
        <w:t>7）所有立柱长度应根据桥架的布置图纸进行详细的统计设计，专业厂家应进行详细设计。立柱顶端装置的底座开有4个13*20的椭孔用于膨胀螺栓固定。</w:t>
      </w:r>
    </w:p>
    <w:p w14:paraId="3834059E">
      <w:pPr>
        <w:ind w:firstLine="420" w:firstLineChars="0"/>
        <w:rPr>
          <w:rFonts w:hint="eastAsia" w:asciiTheme="minorEastAsia" w:hAnsiTheme="minorEastAsia"/>
          <w:sz w:val="24"/>
          <w:szCs w:val="24"/>
        </w:rPr>
      </w:pPr>
      <w:r>
        <w:rPr>
          <w:rFonts w:hint="eastAsia" w:asciiTheme="minorEastAsia" w:hAnsiTheme="minorEastAsia"/>
          <w:sz w:val="24"/>
          <w:szCs w:val="24"/>
        </w:rPr>
        <w:t>8）所有桥架的托臂与立柱等的连接必须采用螺栓连接并具有上下调节的裕度。不得采用现场焊接方式。</w:t>
      </w:r>
    </w:p>
    <w:p w14:paraId="2FFD5470">
      <w:pPr>
        <w:ind w:firstLine="420" w:firstLineChars="0"/>
        <w:rPr>
          <w:rFonts w:hint="eastAsia" w:asciiTheme="minorEastAsia" w:hAnsiTheme="minorEastAsia"/>
          <w:sz w:val="24"/>
          <w:szCs w:val="24"/>
        </w:rPr>
      </w:pPr>
      <w:r>
        <w:rPr>
          <w:rFonts w:hint="eastAsia" w:asciiTheme="minorEastAsia" w:hAnsiTheme="minorEastAsia"/>
          <w:sz w:val="24"/>
          <w:szCs w:val="24"/>
        </w:rPr>
        <w:t>2.11.13电气管道、接地系统和电气设备安装预埋件的埋设</w:t>
      </w:r>
    </w:p>
    <w:p w14:paraId="1EC50502">
      <w:pPr>
        <w:ind w:firstLine="420" w:firstLineChars="0"/>
        <w:rPr>
          <w:rFonts w:hint="eastAsia" w:asciiTheme="minorEastAsia" w:hAnsiTheme="minorEastAsia"/>
          <w:sz w:val="24"/>
          <w:szCs w:val="24"/>
        </w:rPr>
      </w:pPr>
      <w:r>
        <w:rPr>
          <w:rFonts w:hint="eastAsia" w:asciiTheme="minorEastAsia" w:hAnsiTheme="minorEastAsia"/>
          <w:sz w:val="24"/>
          <w:szCs w:val="24"/>
        </w:rPr>
        <w:t>1）埋设范围</w:t>
      </w:r>
    </w:p>
    <w:p w14:paraId="7ED2A0C9">
      <w:pPr>
        <w:ind w:firstLine="420" w:firstLineChars="0"/>
        <w:rPr>
          <w:rFonts w:hint="eastAsia" w:asciiTheme="minorEastAsia" w:hAnsiTheme="minorEastAsia"/>
          <w:sz w:val="24"/>
          <w:szCs w:val="24"/>
        </w:rPr>
      </w:pPr>
      <w:r>
        <w:rPr>
          <w:rFonts w:hint="eastAsia" w:asciiTheme="minorEastAsia" w:hAnsiTheme="minorEastAsia"/>
          <w:sz w:val="24"/>
          <w:szCs w:val="24"/>
        </w:rPr>
        <w:t>a）承包人应负责在其承包范围内的电气管道、接地系统和电气设备安装预埋件的埋设工作，包括(不限于)：</w:t>
      </w:r>
    </w:p>
    <w:p w14:paraId="2889A013">
      <w:pPr>
        <w:ind w:firstLine="420" w:firstLineChars="0"/>
        <w:rPr>
          <w:rFonts w:hint="eastAsia" w:asciiTheme="minorEastAsia" w:hAnsiTheme="minorEastAsia"/>
          <w:sz w:val="24"/>
          <w:szCs w:val="24"/>
        </w:rPr>
      </w:pPr>
      <w:r>
        <w:rPr>
          <w:rFonts w:hint="eastAsia" w:asciiTheme="minorEastAsia" w:hAnsiTheme="minorEastAsia"/>
          <w:sz w:val="24"/>
          <w:szCs w:val="24"/>
        </w:rPr>
        <w:t>b）接地系统及全部固定件和连接辅助材料（主接地材料采用热镀锌扁钢，规格-40mmx4mm；人工接地体采用L50mmx5mm热镀锌角钢，单根长度2500mm；室外接地网热镀锌扁钢，规格-50mmx6mm；与枢纽主接地网连接采用热镀锌扁钢，规格-50mmx6mm）；</w:t>
      </w:r>
    </w:p>
    <w:p w14:paraId="4174BD1E">
      <w:pPr>
        <w:ind w:firstLine="420" w:firstLineChars="0"/>
        <w:rPr>
          <w:rFonts w:hint="eastAsia" w:asciiTheme="minorEastAsia" w:hAnsiTheme="minorEastAsia"/>
          <w:sz w:val="24"/>
          <w:szCs w:val="24"/>
        </w:rPr>
      </w:pPr>
      <w:r>
        <w:rPr>
          <w:rFonts w:hint="eastAsia" w:asciiTheme="minorEastAsia" w:hAnsiTheme="minorEastAsia"/>
          <w:sz w:val="24"/>
          <w:szCs w:val="24"/>
        </w:rPr>
        <w:t>c）电缆井(沟)中为装设电缆、电缆架及明敷管道用的固定件；</w:t>
      </w:r>
    </w:p>
    <w:p w14:paraId="0D59E4A8">
      <w:pPr>
        <w:ind w:firstLine="420" w:firstLineChars="0"/>
        <w:rPr>
          <w:rFonts w:hint="eastAsia" w:asciiTheme="minorEastAsia" w:hAnsiTheme="minorEastAsia"/>
          <w:sz w:val="24"/>
          <w:szCs w:val="24"/>
        </w:rPr>
      </w:pPr>
      <w:r>
        <w:rPr>
          <w:rFonts w:hint="eastAsia" w:asciiTheme="minorEastAsia" w:hAnsiTheme="minorEastAsia"/>
          <w:sz w:val="24"/>
          <w:szCs w:val="24"/>
        </w:rPr>
        <w:t>d）电气设备安装所需的基础预埋件；</w:t>
      </w:r>
    </w:p>
    <w:p w14:paraId="226B3E5C">
      <w:pPr>
        <w:ind w:firstLine="420" w:firstLineChars="0"/>
        <w:rPr>
          <w:rFonts w:hint="eastAsia" w:asciiTheme="minorEastAsia" w:hAnsiTheme="minorEastAsia"/>
          <w:sz w:val="24"/>
          <w:szCs w:val="24"/>
        </w:rPr>
      </w:pPr>
      <w:r>
        <w:rPr>
          <w:rFonts w:hint="eastAsia" w:asciiTheme="minorEastAsia" w:hAnsiTheme="minorEastAsia"/>
          <w:sz w:val="24"/>
          <w:szCs w:val="24"/>
        </w:rPr>
        <w:t>e）永久建筑物的照明设备、动力、控制和保护、通信、工业电视、火灾报警及消防控制等埋设件；</w:t>
      </w:r>
    </w:p>
    <w:p w14:paraId="1B417F11">
      <w:pPr>
        <w:ind w:firstLine="420" w:firstLineChars="0"/>
        <w:rPr>
          <w:rFonts w:hint="eastAsia" w:asciiTheme="minorEastAsia" w:hAnsiTheme="minorEastAsia"/>
          <w:sz w:val="24"/>
          <w:szCs w:val="24"/>
        </w:rPr>
      </w:pPr>
      <w:r>
        <w:rPr>
          <w:rFonts w:hint="eastAsia" w:asciiTheme="minorEastAsia" w:hAnsiTheme="minorEastAsia"/>
          <w:sz w:val="24"/>
          <w:szCs w:val="24"/>
        </w:rPr>
        <w:t>f）发包人和监理人指定埋设的电气管道及其它埋设件。</w:t>
      </w:r>
    </w:p>
    <w:p w14:paraId="29CD46B1">
      <w:pPr>
        <w:ind w:firstLine="420" w:firstLineChars="0"/>
        <w:rPr>
          <w:rFonts w:hint="eastAsia" w:asciiTheme="minorEastAsia" w:hAnsiTheme="minorEastAsia"/>
          <w:sz w:val="24"/>
          <w:szCs w:val="24"/>
        </w:rPr>
      </w:pPr>
      <w:r>
        <w:rPr>
          <w:rFonts w:hint="eastAsia" w:asciiTheme="minorEastAsia" w:hAnsiTheme="minorEastAsia"/>
          <w:sz w:val="24"/>
          <w:szCs w:val="24"/>
        </w:rPr>
        <w:t>①　“埋设件”一词的定义是指埋入地下、水中和混凝土中或隐蔽在砌块墙、瓷砖墙及其他圬工墙内或背后的埋设材料。</w:t>
      </w:r>
    </w:p>
    <w:p w14:paraId="29FEE651">
      <w:pPr>
        <w:ind w:firstLine="420" w:firstLineChars="0"/>
        <w:rPr>
          <w:rFonts w:hint="eastAsia" w:asciiTheme="minorEastAsia" w:hAnsiTheme="minorEastAsia"/>
          <w:sz w:val="24"/>
          <w:szCs w:val="24"/>
        </w:rPr>
      </w:pPr>
      <w:r>
        <w:rPr>
          <w:rFonts w:hint="eastAsia" w:asciiTheme="minorEastAsia" w:hAnsiTheme="minorEastAsia"/>
          <w:sz w:val="24"/>
          <w:szCs w:val="24"/>
        </w:rPr>
        <w:t>②　承包人提供的各埋设件及固定件的材料规格，性能应严格地符合有关规范及施工详图的规定。</w:t>
      </w:r>
    </w:p>
    <w:p w14:paraId="29E7B623">
      <w:pPr>
        <w:ind w:firstLine="420" w:firstLineChars="0"/>
        <w:rPr>
          <w:rFonts w:hint="eastAsia" w:asciiTheme="minorEastAsia" w:hAnsiTheme="minorEastAsia"/>
          <w:sz w:val="24"/>
          <w:szCs w:val="24"/>
        </w:rPr>
      </w:pPr>
      <w:r>
        <w:rPr>
          <w:rFonts w:hint="eastAsia" w:asciiTheme="minorEastAsia" w:hAnsiTheme="minorEastAsia"/>
          <w:sz w:val="24"/>
          <w:szCs w:val="24"/>
        </w:rPr>
        <w:t>③　埋设的电气管道系统，应包括根据施工详图或发包人和监理人另作规定的所有埋设管道，接线盒以及用于照明、动力、控制和保护、通信、工业电视、火灾报警及消防控制等系统的这类材料。</w:t>
      </w:r>
    </w:p>
    <w:p w14:paraId="11389229">
      <w:pPr>
        <w:ind w:firstLine="420" w:firstLineChars="0"/>
        <w:rPr>
          <w:rFonts w:hint="eastAsia" w:asciiTheme="minorEastAsia" w:hAnsiTheme="minorEastAsia"/>
          <w:sz w:val="24"/>
          <w:szCs w:val="24"/>
        </w:rPr>
      </w:pPr>
      <w:r>
        <w:rPr>
          <w:rFonts w:hint="eastAsia" w:asciiTheme="minorEastAsia" w:hAnsiTheme="minorEastAsia"/>
          <w:sz w:val="24"/>
          <w:szCs w:val="24"/>
        </w:rPr>
        <w:t>④　埋设的接地系统，应包括施工详图或发包人和监理人另作规定的用于接地系统的所有铜绞线、扁钢、钢管、圆钢、接头、降阻剂及防腐剂等。</w:t>
      </w:r>
    </w:p>
    <w:p w14:paraId="587057AF">
      <w:pPr>
        <w:ind w:firstLine="420" w:firstLineChars="0"/>
        <w:rPr>
          <w:rFonts w:hint="eastAsia" w:asciiTheme="minorEastAsia" w:hAnsiTheme="minorEastAsia"/>
          <w:sz w:val="24"/>
          <w:szCs w:val="24"/>
        </w:rPr>
      </w:pPr>
      <w:r>
        <w:rPr>
          <w:rFonts w:hint="eastAsia" w:asciiTheme="minorEastAsia" w:hAnsiTheme="minorEastAsia"/>
          <w:sz w:val="24"/>
          <w:szCs w:val="24"/>
        </w:rPr>
        <w:t>⑤　除本章规定的条款外，还应包括埋设所需的固定件和电气安装预埋件。</w:t>
      </w:r>
    </w:p>
    <w:p w14:paraId="3AE20788">
      <w:pPr>
        <w:ind w:firstLine="420" w:firstLineChars="0"/>
        <w:rPr>
          <w:rFonts w:hint="eastAsia" w:asciiTheme="minorEastAsia" w:hAnsiTheme="minorEastAsia"/>
          <w:sz w:val="24"/>
          <w:szCs w:val="24"/>
        </w:rPr>
      </w:pPr>
      <w:r>
        <w:rPr>
          <w:rFonts w:hint="eastAsia" w:asciiTheme="minorEastAsia" w:hAnsiTheme="minorEastAsia"/>
          <w:sz w:val="24"/>
          <w:szCs w:val="24"/>
        </w:rPr>
        <w:t>⑥　承包人除按施工详图完成上述埋设项目外，还应为其它承包人进行与本项目相关的施工提供方便。</w:t>
      </w:r>
    </w:p>
    <w:p w14:paraId="77D5DC39">
      <w:pPr>
        <w:ind w:firstLine="420" w:firstLineChars="0"/>
        <w:rPr>
          <w:rFonts w:hint="eastAsia" w:asciiTheme="minorEastAsia" w:hAnsiTheme="minorEastAsia"/>
          <w:sz w:val="24"/>
          <w:szCs w:val="24"/>
        </w:rPr>
      </w:pPr>
      <w:r>
        <w:rPr>
          <w:rFonts w:hint="eastAsia" w:asciiTheme="minorEastAsia" w:hAnsiTheme="minorEastAsia"/>
          <w:sz w:val="24"/>
          <w:szCs w:val="24"/>
        </w:rPr>
        <w:t>2）电气管道的埋设</w:t>
      </w:r>
    </w:p>
    <w:p w14:paraId="0C1E5915">
      <w:pPr>
        <w:ind w:firstLine="420" w:firstLineChars="0"/>
        <w:rPr>
          <w:rFonts w:hint="eastAsia" w:asciiTheme="minorEastAsia" w:hAnsiTheme="minorEastAsia"/>
          <w:sz w:val="24"/>
          <w:szCs w:val="24"/>
        </w:rPr>
      </w:pPr>
      <w:r>
        <w:rPr>
          <w:rFonts w:hint="eastAsia" w:asciiTheme="minorEastAsia" w:hAnsiTheme="minorEastAsia"/>
          <w:sz w:val="24"/>
          <w:szCs w:val="24"/>
        </w:rPr>
        <w:t>a）管道的埋设应按施工详图及说明规定，或者按监理人的批示执行。</w:t>
      </w:r>
    </w:p>
    <w:p w14:paraId="257C2B4B">
      <w:pPr>
        <w:ind w:firstLine="420" w:firstLineChars="0"/>
        <w:rPr>
          <w:rFonts w:hint="eastAsia" w:asciiTheme="minorEastAsia" w:hAnsiTheme="minorEastAsia"/>
          <w:sz w:val="24"/>
          <w:szCs w:val="24"/>
        </w:rPr>
      </w:pPr>
      <w:r>
        <w:rPr>
          <w:rFonts w:hint="eastAsia" w:asciiTheme="minorEastAsia" w:hAnsiTheme="minorEastAsia"/>
          <w:sz w:val="24"/>
          <w:szCs w:val="24"/>
        </w:rPr>
        <w:t>b）承包人应把埋设的电气管路及埋设件的终端引出，以便将来安装后续工序的进行。在埋设的电气管道中，应穿以直径不小于2mm的热镀锌铁丝或钢丝，并露出管路的终端外。亦可按施工详图要求或发包人和监理人规定的其它方式引出终端。装设终端的位置和用何种方式保护终端，承包人自行确定，但应作出标记和记录，使延伸的后续工序能顺利进行。</w:t>
      </w:r>
    </w:p>
    <w:p w14:paraId="02AF41F6">
      <w:pPr>
        <w:ind w:firstLine="420" w:firstLineChars="0"/>
        <w:rPr>
          <w:rFonts w:hint="eastAsia" w:asciiTheme="minorEastAsia" w:hAnsiTheme="minorEastAsia"/>
          <w:sz w:val="24"/>
          <w:szCs w:val="24"/>
        </w:rPr>
      </w:pPr>
      <w:r>
        <w:rPr>
          <w:rFonts w:hint="eastAsia" w:asciiTheme="minorEastAsia" w:hAnsiTheme="minorEastAsia"/>
          <w:sz w:val="24"/>
          <w:szCs w:val="24"/>
        </w:rPr>
        <w:t>c）全部管道应采用热热镀锌对缝焊接的硬质钢管，管道不能作为交流回路的导体使用，备用管道口应以木塞塞住。</w:t>
      </w:r>
    </w:p>
    <w:p w14:paraId="08A4ABCB">
      <w:pPr>
        <w:ind w:firstLine="420" w:firstLineChars="0"/>
        <w:rPr>
          <w:rFonts w:hint="eastAsia" w:asciiTheme="minorEastAsia" w:hAnsiTheme="minorEastAsia"/>
          <w:sz w:val="24"/>
          <w:szCs w:val="24"/>
        </w:rPr>
      </w:pPr>
      <w:r>
        <w:rPr>
          <w:rFonts w:hint="eastAsia" w:asciiTheme="minorEastAsia" w:hAnsiTheme="minorEastAsia"/>
          <w:sz w:val="24"/>
          <w:szCs w:val="24"/>
        </w:rPr>
        <w:t>d）金属管道线路上的预埋接头盒，应该按施工图所示，用钢板接线盒，在需要的情况下，则应设置大号的混凝土接头盒，通过接头盒又处于伸缩缝附近的管道应连接好，金属框架及盖板应接地。</w:t>
      </w:r>
    </w:p>
    <w:p w14:paraId="02F8405A">
      <w:pPr>
        <w:ind w:firstLine="420" w:firstLineChars="0"/>
        <w:rPr>
          <w:rFonts w:hint="eastAsia" w:asciiTheme="minorEastAsia" w:hAnsiTheme="minorEastAsia"/>
          <w:sz w:val="24"/>
          <w:szCs w:val="24"/>
        </w:rPr>
      </w:pPr>
      <w:r>
        <w:rPr>
          <w:rFonts w:hint="eastAsia" w:asciiTheme="minorEastAsia" w:hAnsiTheme="minorEastAsia"/>
          <w:sz w:val="24"/>
          <w:szCs w:val="24"/>
        </w:rPr>
        <w:t>e）承包人应严格按施工图施工，如果需要修改时，承包人应采取有效措施，以保证所有的变更与其它管道工作、建筑工作、上下水道工作、配管及建筑表面处理相协调，并保证将来管道延伸或更换时不相互干扰，承包人要求修改施工详图时，都须经发包人和监理人批准后才能实施，并应按发包人和监理人规定的方式作好更改的完整记录。</w:t>
      </w:r>
    </w:p>
    <w:p w14:paraId="7B996510">
      <w:pPr>
        <w:ind w:firstLine="420" w:firstLineChars="0"/>
        <w:rPr>
          <w:rFonts w:hint="eastAsia" w:asciiTheme="minorEastAsia" w:hAnsiTheme="minorEastAsia"/>
          <w:sz w:val="24"/>
          <w:szCs w:val="24"/>
        </w:rPr>
      </w:pPr>
      <w:r>
        <w:rPr>
          <w:rFonts w:hint="eastAsia" w:asciiTheme="minorEastAsia" w:hAnsiTheme="minorEastAsia"/>
          <w:sz w:val="24"/>
          <w:szCs w:val="24"/>
        </w:rPr>
        <w:t>f）在整个施工期间，为了确保管道不受损坏并保证其畅通，承包人对管道系统应妥善加以保护，直至下一道后续工序开始之前。本标承包人应负责保证所埋设管道在施工期间的防锈及防阻塞，因承包人维护不当造成损失由承包人负责。</w:t>
      </w:r>
    </w:p>
    <w:p w14:paraId="06501F86">
      <w:pPr>
        <w:ind w:firstLine="420" w:firstLineChars="0"/>
        <w:rPr>
          <w:rFonts w:hint="eastAsia" w:asciiTheme="minorEastAsia" w:hAnsiTheme="minorEastAsia"/>
          <w:sz w:val="24"/>
          <w:szCs w:val="24"/>
        </w:rPr>
      </w:pPr>
      <w:r>
        <w:rPr>
          <w:rFonts w:hint="eastAsia" w:asciiTheme="minorEastAsia" w:hAnsiTheme="minorEastAsia"/>
          <w:sz w:val="24"/>
          <w:szCs w:val="24"/>
        </w:rPr>
        <w:t>g）所有埋设管道，在埋入混凝土前和埋入之后，承包人均应作检查，以保证管道中穿设的电缆或电线不受损伤，一旦发现管道不能使用，承包人应及时向发包人和监理人报告，并由承包人负责更换，由此增加的费用应由承包人自理。</w:t>
      </w:r>
    </w:p>
    <w:p w14:paraId="0FFD9913">
      <w:pPr>
        <w:ind w:firstLine="420" w:firstLineChars="0"/>
        <w:rPr>
          <w:rFonts w:hint="eastAsia" w:asciiTheme="minorEastAsia" w:hAnsiTheme="minorEastAsia"/>
          <w:sz w:val="24"/>
          <w:szCs w:val="24"/>
        </w:rPr>
      </w:pPr>
      <w:r>
        <w:rPr>
          <w:rFonts w:hint="eastAsia" w:asciiTheme="minorEastAsia" w:hAnsiTheme="minorEastAsia"/>
          <w:sz w:val="24"/>
          <w:szCs w:val="24"/>
        </w:rPr>
        <w:t>h）为支撑埋设管道，需用焊接固定时，不应烧伤管道内壁。</w:t>
      </w:r>
    </w:p>
    <w:p w14:paraId="18C42423">
      <w:pPr>
        <w:ind w:firstLine="420" w:firstLineChars="0"/>
        <w:rPr>
          <w:rFonts w:hint="eastAsia" w:asciiTheme="minorEastAsia" w:hAnsiTheme="minorEastAsia"/>
          <w:sz w:val="24"/>
          <w:szCs w:val="24"/>
        </w:rPr>
      </w:pPr>
      <w:r>
        <w:rPr>
          <w:rFonts w:hint="eastAsia" w:asciiTheme="minorEastAsia" w:hAnsiTheme="minorEastAsia"/>
          <w:sz w:val="24"/>
          <w:szCs w:val="24"/>
        </w:rPr>
        <w:t>i）每个灯头盒都应加上盒盖，灯头盒应采用矩形或八角形，其支承表面应平整，以便于安装锁紧螺母或护口。</w:t>
      </w:r>
    </w:p>
    <w:p w14:paraId="565C1B62">
      <w:pPr>
        <w:ind w:firstLine="420" w:firstLineChars="0"/>
        <w:rPr>
          <w:rFonts w:hint="eastAsia" w:asciiTheme="minorEastAsia" w:hAnsiTheme="minorEastAsia"/>
          <w:sz w:val="24"/>
          <w:szCs w:val="24"/>
        </w:rPr>
      </w:pPr>
      <w:r>
        <w:rPr>
          <w:rFonts w:hint="eastAsia" w:asciiTheme="minorEastAsia" w:hAnsiTheme="minorEastAsia"/>
          <w:sz w:val="24"/>
          <w:szCs w:val="24"/>
        </w:rPr>
        <w:t>j）在建筑瓷砖上安装灯头盒或开关盒插座时，表面要美观，并尽量装在瓷砖板的中心。</w:t>
      </w:r>
    </w:p>
    <w:p w14:paraId="73D30E80">
      <w:pPr>
        <w:ind w:firstLine="420" w:firstLineChars="0"/>
        <w:rPr>
          <w:rFonts w:hint="eastAsia" w:asciiTheme="minorEastAsia" w:hAnsiTheme="minorEastAsia"/>
          <w:sz w:val="24"/>
          <w:szCs w:val="24"/>
        </w:rPr>
      </w:pPr>
      <w:r>
        <w:rPr>
          <w:rFonts w:hint="eastAsia" w:asciiTheme="minorEastAsia" w:hAnsiTheme="minorEastAsia"/>
          <w:sz w:val="24"/>
          <w:szCs w:val="24"/>
        </w:rPr>
        <w:t>k）如果埋设管道的终端是设置在将来要明装的管道盒或设备上时，承包人应用模板固定管道，以保证正确位置。</w:t>
      </w:r>
    </w:p>
    <w:p w14:paraId="33880932">
      <w:pPr>
        <w:ind w:firstLine="420" w:firstLineChars="0"/>
        <w:rPr>
          <w:rFonts w:hint="eastAsia" w:asciiTheme="minorEastAsia" w:hAnsiTheme="minorEastAsia"/>
          <w:sz w:val="24"/>
          <w:szCs w:val="24"/>
        </w:rPr>
      </w:pPr>
      <w:r>
        <w:rPr>
          <w:rFonts w:hint="eastAsia" w:asciiTheme="minorEastAsia" w:hAnsiTheme="minorEastAsia"/>
          <w:sz w:val="24"/>
          <w:szCs w:val="24"/>
        </w:rPr>
        <w:t>l）埋设管道穿过建筑物沉陷缝或伸缩缝时，应套一段内径不小于埋设管道外径2倍的钢管套。在套管与埋设管道接缝处，应缠以麻丝并充填沥青。套管与埋设管道套接总长度应不小于350mm。</w:t>
      </w:r>
    </w:p>
    <w:p w14:paraId="1953965E">
      <w:pPr>
        <w:ind w:firstLine="420" w:firstLineChars="0"/>
        <w:rPr>
          <w:rFonts w:hint="eastAsia" w:asciiTheme="minorEastAsia" w:hAnsiTheme="minorEastAsia"/>
          <w:sz w:val="24"/>
          <w:szCs w:val="24"/>
        </w:rPr>
      </w:pPr>
      <w:r>
        <w:rPr>
          <w:rFonts w:hint="eastAsia" w:asciiTheme="minorEastAsia" w:hAnsiTheme="minorEastAsia"/>
          <w:sz w:val="24"/>
          <w:szCs w:val="24"/>
        </w:rPr>
        <w:t>m）管道敷设的全部临时固定件和技术性处理所需钢件及材料均应由承包人承担。</w:t>
      </w:r>
    </w:p>
    <w:p w14:paraId="1A0F78D7">
      <w:pPr>
        <w:ind w:firstLine="420" w:firstLineChars="0"/>
        <w:rPr>
          <w:rFonts w:hint="eastAsia" w:asciiTheme="minorEastAsia" w:hAnsiTheme="minorEastAsia"/>
          <w:sz w:val="24"/>
          <w:szCs w:val="24"/>
        </w:rPr>
      </w:pPr>
      <w:r>
        <w:rPr>
          <w:rFonts w:hint="eastAsia" w:asciiTheme="minorEastAsia" w:hAnsiTheme="minorEastAsia"/>
          <w:sz w:val="24"/>
          <w:szCs w:val="24"/>
        </w:rPr>
        <w:t>n）埋设管道的弯曲半径不得小于管道公称直径的10倍，弯头不应出现扭曲、凹瘪或压扁表面。</w:t>
      </w:r>
    </w:p>
    <w:p w14:paraId="69E59AC0">
      <w:pPr>
        <w:ind w:firstLine="420" w:firstLineChars="0"/>
        <w:rPr>
          <w:rFonts w:hint="eastAsia" w:asciiTheme="minorEastAsia" w:hAnsiTheme="minorEastAsia"/>
          <w:sz w:val="24"/>
          <w:szCs w:val="24"/>
        </w:rPr>
      </w:pPr>
      <w:r>
        <w:rPr>
          <w:rFonts w:hint="eastAsia" w:asciiTheme="minorEastAsia" w:hAnsiTheme="minorEastAsia"/>
          <w:sz w:val="24"/>
          <w:szCs w:val="24"/>
        </w:rPr>
        <w:t>o）管道管口应封塞，以防止杂物进入，并应附有标签，标签上注明该管道的相应名称。</w:t>
      </w:r>
    </w:p>
    <w:p w14:paraId="264E1029">
      <w:pPr>
        <w:ind w:firstLine="420" w:firstLineChars="0"/>
        <w:rPr>
          <w:rFonts w:hint="eastAsia" w:asciiTheme="minorEastAsia" w:hAnsiTheme="minorEastAsia"/>
          <w:sz w:val="24"/>
          <w:szCs w:val="24"/>
        </w:rPr>
      </w:pPr>
      <w:r>
        <w:rPr>
          <w:rFonts w:hint="eastAsia" w:asciiTheme="minorEastAsia" w:hAnsiTheme="minorEastAsia"/>
          <w:sz w:val="24"/>
          <w:szCs w:val="24"/>
        </w:rPr>
        <w:t>p）管道需要延伸联结时，宜采用圆锥管螺纹或套管焊联接，不得采用圆柱管螺纹和对接焊联接。</w:t>
      </w:r>
    </w:p>
    <w:p w14:paraId="15300320">
      <w:pPr>
        <w:ind w:firstLine="420" w:firstLineChars="0"/>
        <w:rPr>
          <w:rFonts w:hint="eastAsia" w:asciiTheme="minorEastAsia" w:hAnsiTheme="minorEastAsia"/>
          <w:sz w:val="24"/>
          <w:szCs w:val="24"/>
        </w:rPr>
      </w:pPr>
      <w:r>
        <w:rPr>
          <w:rFonts w:hint="eastAsia" w:asciiTheme="minorEastAsia" w:hAnsiTheme="minorEastAsia"/>
          <w:sz w:val="24"/>
          <w:szCs w:val="24"/>
        </w:rPr>
        <w:t>q）应采取适当措施固定埋设的管道、埋件，防止混凝土浇筑振捣时产生位移，混凝土表面的钢板、扁钢等埋件组件应与抹面平齐。</w:t>
      </w:r>
    </w:p>
    <w:p w14:paraId="5DB07589">
      <w:pPr>
        <w:ind w:firstLine="420" w:firstLineChars="0"/>
        <w:rPr>
          <w:rFonts w:hint="eastAsia" w:asciiTheme="minorEastAsia" w:hAnsiTheme="minorEastAsia"/>
          <w:sz w:val="24"/>
          <w:szCs w:val="24"/>
        </w:rPr>
      </w:pPr>
      <w:r>
        <w:rPr>
          <w:rFonts w:hint="eastAsia" w:asciiTheme="minorEastAsia" w:hAnsiTheme="minorEastAsia"/>
          <w:sz w:val="24"/>
          <w:szCs w:val="24"/>
        </w:rPr>
        <w:t>r）除上述规定外，所有管道和埋件的埋设应严格遵守相关规程规范的有关规定。</w:t>
      </w:r>
    </w:p>
    <w:p w14:paraId="0E5D1573">
      <w:pPr>
        <w:ind w:firstLine="420" w:firstLineChars="0"/>
        <w:rPr>
          <w:rFonts w:hint="eastAsia" w:asciiTheme="minorEastAsia" w:hAnsiTheme="minorEastAsia"/>
          <w:sz w:val="24"/>
          <w:szCs w:val="24"/>
        </w:rPr>
      </w:pPr>
      <w:r>
        <w:rPr>
          <w:rFonts w:hint="eastAsia" w:asciiTheme="minorEastAsia" w:hAnsiTheme="minorEastAsia"/>
          <w:sz w:val="24"/>
          <w:szCs w:val="24"/>
        </w:rPr>
        <w:t>3）接地系统的埋设</w:t>
      </w:r>
    </w:p>
    <w:p w14:paraId="1DE2CCB1">
      <w:pPr>
        <w:ind w:firstLine="420" w:firstLineChars="0"/>
        <w:rPr>
          <w:rFonts w:hint="eastAsia" w:asciiTheme="minorEastAsia" w:hAnsiTheme="minorEastAsia"/>
          <w:sz w:val="24"/>
          <w:szCs w:val="24"/>
        </w:rPr>
      </w:pPr>
      <w:r>
        <w:rPr>
          <w:rFonts w:hint="eastAsia" w:asciiTheme="minorEastAsia" w:hAnsiTheme="minorEastAsia"/>
          <w:sz w:val="24"/>
          <w:szCs w:val="24"/>
        </w:rPr>
        <w:t>a）整个接地系统应全部与电气连通，各部分接地装置须多点互相连接。</w:t>
      </w:r>
    </w:p>
    <w:p w14:paraId="595465C2">
      <w:pPr>
        <w:ind w:firstLine="420" w:firstLineChars="0"/>
        <w:rPr>
          <w:rFonts w:hint="eastAsia" w:asciiTheme="minorEastAsia" w:hAnsiTheme="minorEastAsia"/>
          <w:sz w:val="24"/>
          <w:szCs w:val="24"/>
        </w:rPr>
      </w:pPr>
      <w:r>
        <w:rPr>
          <w:rFonts w:hint="eastAsia" w:asciiTheme="minorEastAsia" w:hAnsiTheme="minorEastAsia"/>
          <w:sz w:val="24"/>
          <w:szCs w:val="24"/>
        </w:rPr>
        <w:t>b）承包人应将埋设的接地装置按施工详图或发包人和监理人的要求引出至需要延伸连接及考虑将来发展需要的区域。当延续施工由其它承包人完成时，本标承包人应负责协调配合延续施工。</w:t>
      </w:r>
    </w:p>
    <w:p w14:paraId="277418AA">
      <w:pPr>
        <w:ind w:firstLine="420" w:firstLineChars="0"/>
        <w:rPr>
          <w:rFonts w:hint="eastAsia" w:asciiTheme="minorEastAsia" w:hAnsiTheme="minorEastAsia"/>
          <w:sz w:val="24"/>
          <w:szCs w:val="24"/>
        </w:rPr>
      </w:pPr>
      <w:r>
        <w:rPr>
          <w:rFonts w:hint="eastAsia" w:asciiTheme="minorEastAsia" w:hAnsiTheme="minorEastAsia"/>
          <w:sz w:val="24"/>
          <w:szCs w:val="24"/>
        </w:rPr>
        <w:t>c）从埋设在混凝土、墙壁、地板、建筑物构件中的接地装置引出的连接头位置，应按施工图的规定或发包人和监理人的要求。</w:t>
      </w:r>
    </w:p>
    <w:p w14:paraId="21D1AAA9">
      <w:pPr>
        <w:ind w:firstLine="420" w:firstLineChars="0"/>
        <w:rPr>
          <w:rFonts w:hint="eastAsia" w:asciiTheme="minorEastAsia" w:hAnsiTheme="minorEastAsia"/>
          <w:sz w:val="24"/>
          <w:szCs w:val="24"/>
        </w:rPr>
      </w:pPr>
      <w:r>
        <w:rPr>
          <w:rFonts w:hint="eastAsia" w:asciiTheme="minorEastAsia" w:hAnsiTheme="minorEastAsia"/>
          <w:sz w:val="24"/>
          <w:szCs w:val="24"/>
        </w:rPr>
        <w:t>d）所有引出的预留连接的接地线，均应作好明显标记，采取妥善保护措施，防止锈蚀、机械损伤和覆埋。</w:t>
      </w:r>
    </w:p>
    <w:p w14:paraId="730A4E94">
      <w:pPr>
        <w:ind w:firstLine="420" w:firstLineChars="0"/>
        <w:rPr>
          <w:rFonts w:hint="eastAsia" w:asciiTheme="minorEastAsia" w:hAnsiTheme="minorEastAsia"/>
          <w:sz w:val="24"/>
          <w:szCs w:val="24"/>
        </w:rPr>
      </w:pPr>
      <w:r>
        <w:rPr>
          <w:rFonts w:hint="eastAsia" w:asciiTheme="minorEastAsia" w:hAnsiTheme="minorEastAsia"/>
          <w:sz w:val="24"/>
          <w:szCs w:val="24"/>
        </w:rPr>
        <w:t>e）接地系统的全部零件，除另有特殊规定外，均应与施工详图相符。</w:t>
      </w:r>
    </w:p>
    <w:p w14:paraId="64B8FB9A">
      <w:pPr>
        <w:ind w:firstLine="420" w:firstLineChars="0"/>
        <w:rPr>
          <w:rFonts w:hint="eastAsia" w:asciiTheme="minorEastAsia" w:hAnsiTheme="minorEastAsia"/>
          <w:sz w:val="24"/>
          <w:szCs w:val="24"/>
        </w:rPr>
      </w:pPr>
      <w:r>
        <w:rPr>
          <w:rFonts w:hint="eastAsia" w:asciiTheme="minorEastAsia" w:hAnsiTheme="minorEastAsia"/>
          <w:sz w:val="24"/>
          <w:szCs w:val="24"/>
        </w:rPr>
        <w:t>f）所有结构钢件及零杂钢件，包括玻璃幕墙钢构件、门槽、轨道、栏杆、楼梯，扶手、保护网和支架等其它金属件均应接地。</w:t>
      </w:r>
    </w:p>
    <w:p w14:paraId="44C7E117">
      <w:pPr>
        <w:ind w:firstLine="420" w:firstLineChars="0"/>
        <w:rPr>
          <w:rFonts w:hint="eastAsia" w:asciiTheme="minorEastAsia" w:hAnsiTheme="minorEastAsia"/>
          <w:sz w:val="24"/>
          <w:szCs w:val="24"/>
        </w:rPr>
      </w:pPr>
      <w:r>
        <w:rPr>
          <w:rFonts w:hint="eastAsia" w:asciiTheme="minorEastAsia" w:hAnsiTheme="minorEastAsia"/>
          <w:sz w:val="24"/>
          <w:szCs w:val="24"/>
        </w:rPr>
        <w:t>g）接地体经过结构伸缩缝时，应采取施工详图规定的专门措施，以免被混凝土应力损坏。</w:t>
      </w:r>
    </w:p>
    <w:p w14:paraId="535A78A0">
      <w:pPr>
        <w:ind w:firstLine="420" w:firstLineChars="0"/>
        <w:rPr>
          <w:rFonts w:hint="eastAsia" w:asciiTheme="minorEastAsia" w:hAnsiTheme="minorEastAsia"/>
          <w:sz w:val="24"/>
          <w:szCs w:val="24"/>
        </w:rPr>
      </w:pPr>
      <w:r>
        <w:rPr>
          <w:rFonts w:hint="eastAsia" w:asciiTheme="minorEastAsia" w:hAnsiTheme="minorEastAsia"/>
          <w:sz w:val="24"/>
          <w:szCs w:val="24"/>
        </w:rPr>
        <w:t>h）接地扁钢采用热热镀锌扁钢，采用电焊法连接；铜与铜、铜与钢接地体之间的连接采用熔焊工艺。</w:t>
      </w:r>
    </w:p>
    <w:p w14:paraId="1811717F">
      <w:pPr>
        <w:ind w:firstLine="420" w:firstLineChars="0"/>
        <w:rPr>
          <w:rFonts w:hint="eastAsia" w:asciiTheme="minorEastAsia" w:hAnsiTheme="minorEastAsia"/>
          <w:sz w:val="24"/>
          <w:szCs w:val="24"/>
        </w:rPr>
      </w:pPr>
      <w:r>
        <w:rPr>
          <w:rFonts w:hint="eastAsia" w:asciiTheme="minorEastAsia" w:hAnsiTheme="minorEastAsia"/>
          <w:sz w:val="24"/>
          <w:szCs w:val="24"/>
        </w:rPr>
        <w:t>i）明敷的接地扁钢及其接头应涂上经过许可的防锈漆。</w:t>
      </w:r>
    </w:p>
    <w:p w14:paraId="186AAAA2">
      <w:pPr>
        <w:ind w:firstLine="420" w:firstLineChars="0"/>
        <w:rPr>
          <w:rFonts w:hint="eastAsia" w:asciiTheme="minorEastAsia" w:hAnsiTheme="minorEastAsia"/>
          <w:sz w:val="24"/>
          <w:szCs w:val="24"/>
        </w:rPr>
      </w:pPr>
      <w:r>
        <w:rPr>
          <w:rFonts w:hint="eastAsia" w:asciiTheme="minorEastAsia" w:hAnsiTheme="minorEastAsia"/>
          <w:sz w:val="24"/>
          <w:szCs w:val="24"/>
        </w:rPr>
        <w:t>j）接地扁钢的焊缝长度应符合施工详图的要求和《交流电气装置的接地设计规范》GB/T50065-2011的规定，焊缝处应刷干净，并涂上含锌漆或采取其他防腐措施。</w:t>
      </w:r>
    </w:p>
    <w:p w14:paraId="1A55134E">
      <w:pPr>
        <w:ind w:firstLine="420" w:firstLineChars="0"/>
        <w:rPr>
          <w:rFonts w:hint="eastAsia" w:asciiTheme="minorEastAsia" w:hAnsiTheme="minorEastAsia"/>
          <w:sz w:val="24"/>
          <w:szCs w:val="24"/>
        </w:rPr>
      </w:pPr>
      <w:r>
        <w:rPr>
          <w:rFonts w:hint="eastAsia" w:asciiTheme="minorEastAsia" w:hAnsiTheme="minorEastAsia"/>
          <w:sz w:val="24"/>
          <w:szCs w:val="24"/>
        </w:rPr>
        <w:t>k）铜绞线应采用《电工圆铜线》GB /T 3953-2009中的TYT型特硬圆铜线制造。铜线表面应光洁、无疤痕、裂纹，不应有与良好工业产品不相称的任何缺陷。</w:t>
      </w:r>
    </w:p>
    <w:p w14:paraId="65CD4557">
      <w:pPr>
        <w:ind w:firstLine="420" w:firstLineChars="0"/>
        <w:rPr>
          <w:rFonts w:hint="eastAsia" w:asciiTheme="minorEastAsia" w:hAnsiTheme="minorEastAsia"/>
          <w:sz w:val="24"/>
          <w:szCs w:val="24"/>
        </w:rPr>
      </w:pPr>
      <w:r>
        <w:rPr>
          <w:rFonts w:hint="eastAsia" w:asciiTheme="minorEastAsia" w:hAnsiTheme="minorEastAsia"/>
          <w:sz w:val="24"/>
          <w:szCs w:val="24"/>
        </w:rPr>
        <w:t>l）标称直径2.0mm及以上铜单线20℃时的电阻率：不大于0.01777Ωm㎡/m。</w:t>
      </w:r>
    </w:p>
    <w:p w14:paraId="1F6839DE">
      <w:pPr>
        <w:ind w:firstLine="420" w:firstLineChars="0"/>
        <w:rPr>
          <w:rFonts w:hint="eastAsia" w:asciiTheme="minorEastAsia" w:hAnsiTheme="minorEastAsia"/>
          <w:sz w:val="24"/>
          <w:szCs w:val="24"/>
        </w:rPr>
      </w:pPr>
      <w:r>
        <w:rPr>
          <w:rFonts w:hint="eastAsia" w:asciiTheme="minorEastAsia" w:hAnsiTheme="minorEastAsia"/>
          <w:sz w:val="24"/>
          <w:szCs w:val="24"/>
        </w:rPr>
        <w:t>m）在施工期间，应对接地装置埋设给予足够的重视和保护，特别是引出线应保护完好，由于承包人疏忽而造成的遗漏和损失，应立即修复至发包人和监理人满意为止。</w:t>
      </w:r>
    </w:p>
    <w:p w14:paraId="43FA51FF">
      <w:pPr>
        <w:ind w:firstLine="420" w:firstLineChars="0"/>
        <w:rPr>
          <w:rFonts w:hint="eastAsia" w:asciiTheme="minorEastAsia" w:hAnsiTheme="minorEastAsia"/>
          <w:sz w:val="24"/>
          <w:szCs w:val="24"/>
        </w:rPr>
      </w:pPr>
      <w:r>
        <w:rPr>
          <w:rFonts w:hint="eastAsia" w:asciiTheme="minorEastAsia" w:hAnsiTheme="minorEastAsia"/>
          <w:sz w:val="24"/>
          <w:szCs w:val="24"/>
        </w:rPr>
        <w:t>n）接地装置的埋设施工应严格遵守《电气装置安装工程接地装置施工及验收规范》GB50169-2016规范和本技术规范的有关规定执行。</w:t>
      </w:r>
    </w:p>
    <w:p w14:paraId="08EC65C3">
      <w:pPr>
        <w:ind w:firstLine="420" w:firstLineChars="0"/>
        <w:rPr>
          <w:rFonts w:hint="eastAsia" w:asciiTheme="minorEastAsia" w:hAnsiTheme="minorEastAsia"/>
          <w:sz w:val="24"/>
          <w:szCs w:val="24"/>
        </w:rPr>
      </w:pPr>
      <w:r>
        <w:rPr>
          <w:rFonts w:hint="eastAsia" w:asciiTheme="minorEastAsia" w:hAnsiTheme="minorEastAsia"/>
          <w:sz w:val="24"/>
          <w:szCs w:val="24"/>
        </w:rPr>
        <w:t>4）电气设备安装预埋件的埋设和明敷管道固定件的埋设</w:t>
      </w:r>
    </w:p>
    <w:p w14:paraId="6A32E6A6">
      <w:pPr>
        <w:ind w:firstLine="420" w:firstLineChars="0"/>
        <w:rPr>
          <w:rFonts w:hint="eastAsia" w:asciiTheme="minorEastAsia" w:hAnsiTheme="minorEastAsia"/>
          <w:sz w:val="24"/>
          <w:szCs w:val="24"/>
        </w:rPr>
      </w:pPr>
      <w:r>
        <w:rPr>
          <w:rFonts w:hint="eastAsia" w:asciiTheme="minorEastAsia" w:hAnsiTheme="minorEastAsia"/>
          <w:sz w:val="24"/>
          <w:szCs w:val="24"/>
        </w:rPr>
        <w:t>a）所有电气设备安装预埋件，应根据施工详图位置预留二期混凝土槽、孔和预埋钢板，以保证承担本项目机电设备安装的其它承包人顺利进行设备安装工作。</w:t>
      </w:r>
    </w:p>
    <w:p w14:paraId="1C9C20B7">
      <w:pPr>
        <w:ind w:firstLine="420" w:firstLineChars="0"/>
        <w:rPr>
          <w:rFonts w:hint="eastAsia" w:asciiTheme="minorEastAsia" w:hAnsiTheme="minorEastAsia"/>
          <w:sz w:val="24"/>
          <w:szCs w:val="24"/>
        </w:rPr>
      </w:pPr>
      <w:r>
        <w:rPr>
          <w:rFonts w:hint="eastAsia" w:asciiTheme="minorEastAsia" w:hAnsiTheme="minorEastAsia"/>
          <w:sz w:val="24"/>
          <w:szCs w:val="24"/>
        </w:rPr>
        <w:t>b）对预留的二期混凝土槽、孔，承包人应采用有效方式加以保护。</w:t>
      </w:r>
    </w:p>
    <w:p w14:paraId="28425544">
      <w:pPr>
        <w:ind w:firstLine="420" w:firstLineChars="0"/>
        <w:rPr>
          <w:rFonts w:hint="eastAsia" w:asciiTheme="minorEastAsia" w:hAnsiTheme="minorEastAsia"/>
          <w:sz w:val="24"/>
          <w:szCs w:val="24"/>
        </w:rPr>
      </w:pPr>
      <w:r>
        <w:rPr>
          <w:rFonts w:hint="eastAsia" w:asciiTheme="minorEastAsia" w:hAnsiTheme="minorEastAsia"/>
          <w:sz w:val="24"/>
          <w:szCs w:val="24"/>
        </w:rPr>
        <w:t>c）明敷管道固定件的预埋间距，应严格遵守相关规程规范的有关规定执行。</w:t>
      </w:r>
    </w:p>
    <w:p w14:paraId="7D65ED4D">
      <w:pPr>
        <w:ind w:firstLine="420" w:firstLineChars="0"/>
        <w:rPr>
          <w:rFonts w:hint="eastAsia" w:asciiTheme="minorEastAsia" w:hAnsiTheme="minorEastAsia"/>
          <w:sz w:val="24"/>
          <w:szCs w:val="24"/>
        </w:rPr>
      </w:pPr>
      <w:r>
        <w:rPr>
          <w:rFonts w:hint="eastAsia" w:asciiTheme="minorEastAsia" w:hAnsiTheme="minorEastAsia"/>
          <w:sz w:val="24"/>
          <w:szCs w:val="24"/>
        </w:rPr>
        <w:t>2.11.14现场检查、试验和验收</w:t>
      </w:r>
    </w:p>
    <w:p w14:paraId="55696762">
      <w:pPr>
        <w:ind w:firstLine="420" w:firstLineChars="0"/>
        <w:rPr>
          <w:rFonts w:asciiTheme="minorEastAsia" w:hAnsiTheme="minorEastAsia"/>
          <w:sz w:val="28"/>
          <w:szCs w:val="28"/>
        </w:rPr>
      </w:pPr>
      <w:r>
        <w:rPr>
          <w:rFonts w:hint="eastAsia" w:asciiTheme="minorEastAsia" w:hAnsiTheme="minorEastAsia"/>
          <w:sz w:val="24"/>
          <w:szCs w:val="24"/>
        </w:rPr>
        <w:t>主要设备、材料、成品和半成品进场检验结论应有记录，确认符合国家标准和当地标准规定，才能在施工中应用。</w:t>
      </w:r>
    </w:p>
    <w:p w14:paraId="0142BCC0">
      <w:pPr>
        <w:adjustRightInd w:val="0"/>
        <w:snapToGrid w:val="0"/>
        <w:jc w:val="center"/>
        <w:rPr>
          <w:rFonts w:ascii="黑体" w:hAnsi="黑体" w:eastAsia="黑体"/>
          <w:b/>
          <w:color w:val="000000" w:themeColor="text1"/>
          <w:sz w:val="28"/>
          <w:szCs w:val="28"/>
          <w:highlight w:val="none"/>
          <w14:textFill>
            <w14:solidFill>
              <w14:schemeClr w14:val="tx1"/>
            </w14:solidFill>
          </w14:textFill>
        </w:rPr>
      </w:pPr>
    </w:p>
    <w:p w14:paraId="186BA1EC">
      <w:pPr>
        <w:adjustRightInd w:val="0"/>
        <w:snapToGrid w:val="0"/>
        <w:spacing w:line="400" w:lineRule="exact"/>
        <w:jc w:val="center"/>
        <w:outlineLvl w:val="0"/>
        <w:rPr>
          <w:rFonts w:ascii="黑体" w:hAnsi="黑体" w:eastAsia="黑体"/>
          <w:b/>
          <w:color w:val="000000" w:themeColor="text1"/>
          <w:sz w:val="28"/>
          <w:szCs w:val="28"/>
          <w:highlight w:val="none"/>
          <w14:textFill>
            <w14:solidFill>
              <w14:schemeClr w14:val="tx1"/>
            </w14:solidFill>
          </w14:textFill>
        </w:rPr>
        <w:sectPr>
          <w:pgSz w:w="11905" w:h="16838"/>
          <w:pgMar w:top="1417" w:right="1417" w:bottom="1417" w:left="1417" w:header="850" w:footer="992" w:gutter="0"/>
          <w:pgBorders>
            <w:top w:val="none" w:sz="0" w:space="0"/>
            <w:left w:val="none" w:sz="0" w:space="0"/>
            <w:bottom w:val="none" w:sz="0" w:space="0"/>
            <w:right w:val="none" w:sz="0" w:space="0"/>
          </w:pgBorders>
          <w:cols w:space="0" w:num="1"/>
          <w:docGrid w:type="lines" w:linePitch="317" w:charSpace="0"/>
        </w:sectPr>
      </w:pPr>
    </w:p>
    <w:p w14:paraId="5D15CE24">
      <w:pPr>
        <w:adjustRightInd w:val="0"/>
        <w:snapToGrid w:val="0"/>
        <w:spacing w:line="400" w:lineRule="exact"/>
        <w:jc w:val="center"/>
        <w:outlineLvl w:val="0"/>
        <w:rPr>
          <w:rFonts w:ascii="黑体" w:hAnsi="黑体" w:eastAsia="黑体"/>
          <w:b/>
          <w:color w:val="000000" w:themeColor="text1"/>
          <w:sz w:val="28"/>
          <w:szCs w:val="28"/>
          <w:highlight w:val="none"/>
          <w14:textFill>
            <w14:solidFill>
              <w14:schemeClr w14:val="tx1"/>
            </w14:solidFill>
          </w14:textFill>
        </w:rPr>
      </w:pPr>
      <w:bookmarkStart w:id="93" w:name="_Toc29433"/>
      <w:bookmarkStart w:id="94" w:name="_Toc62566198"/>
      <w:bookmarkStart w:id="95" w:name="_Toc6176"/>
      <w:r>
        <w:rPr>
          <w:rFonts w:hint="eastAsia" w:ascii="黑体" w:hAnsi="黑体" w:eastAsia="黑体"/>
          <w:b/>
          <w:color w:val="000000" w:themeColor="text1"/>
          <w:sz w:val="28"/>
          <w:szCs w:val="28"/>
          <w:highlight w:val="none"/>
          <w14:textFill>
            <w14:solidFill>
              <w14:schemeClr w14:val="tx1"/>
            </w14:solidFill>
          </w14:textFill>
        </w:rPr>
        <w:t>第</w:t>
      </w:r>
      <w:r>
        <w:rPr>
          <w:rFonts w:hint="default" w:ascii="黑体" w:hAnsi="黑体" w:eastAsia="黑体"/>
          <w:b/>
          <w:color w:val="000000" w:themeColor="text1"/>
          <w:sz w:val="28"/>
          <w:szCs w:val="28"/>
          <w:highlight w:val="none"/>
          <w14:textFill>
            <w14:solidFill>
              <w14:schemeClr w14:val="tx1"/>
            </w14:solidFill>
          </w14:textFill>
        </w:rPr>
        <w:t>六</w:t>
      </w:r>
      <w:r>
        <w:rPr>
          <w:rFonts w:hint="eastAsia" w:ascii="黑体" w:hAnsi="黑体" w:eastAsia="黑体"/>
          <w:b/>
          <w:color w:val="000000" w:themeColor="text1"/>
          <w:sz w:val="28"/>
          <w:szCs w:val="28"/>
          <w:highlight w:val="none"/>
          <w14:textFill>
            <w14:solidFill>
              <w14:schemeClr w14:val="tx1"/>
            </w14:solidFill>
          </w14:textFill>
        </w:rPr>
        <w:t>章  应答文件格式</w:t>
      </w:r>
      <w:bookmarkEnd w:id="93"/>
      <w:bookmarkEnd w:id="94"/>
      <w:bookmarkEnd w:id="95"/>
    </w:p>
    <w:p w14:paraId="2BADE0C9">
      <w:pPr>
        <w:adjustRightInd w:val="0"/>
        <w:snapToGrid w:val="0"/>
        <w:spacing w:line="320" w:lineRule="exact"/>
        <w:jc w:val="left"/>
        <w:outlineLvl w:val="1"/>
        <w:rPr>
          <w:rFonts w:ascii="黑体" w:hAnsi="Arial" w:eastAsia="黑体"/>
          <w:b/>
          <w:color w:val="000000" w:themeColor="text1"/>
          <w:sz w:val="28"/>
          <w:szCs w:val="28"/>
          <w:highlight w:val="none"/>
          <w14:textFill>
            <w14:solidFill>
              <w14:schemeClr w14:val="tx1"/>
            </w14:solidFill>
          </w14:textFill>
        </w:rPr>
      </w:pPr>
      <w:bookmarkStart w:id="96" w:name="_Toc62566199"/>
      <w:r>
        <w:rPr>
          <w:rFonts w:hint="eastAsia" w:ascii="黑体" w:hAnsi="Arial" w:eastAsia="黑体"/>
          <w:b/>
          <w:color w:val="000000" w:themeColor="text1"/>
          <w:sz w:val="28"/>
          <w:szCs w:val="28"/>
          <w:highlight w:val="none"/>
          <w14:textFill>
            <w14:solidFill>
              <w14:schemeClr w14:val="tx1"/>
            </w14:solidFill>
          </w14:textFill>
        </w:rPr>
        <w:t>一、价格文件</w:t>
      </w:r>
      <w:bookmarkEnd w:id="96"/>
    </w:p>
    <w:p w14:paraId="22A4216B">
      <w:pPr>
        <w:adjustRightInd w:val="0"/>
        <w:snapToGrid w:val="0"/>
        <w:spacing w:line="400" w:lineRule="exact"/>
        <w:outlineLvl w:val="2"/>
        <w:rPr>
          <w:rFonts w:hint="eastAsia" w:ascii="黑体" w:hAnsi="黑体" w:eastAsia="黑体"/>
          <w:b/>
          <w:bCs/>
          <w:color w:val="000000" w:themeColor="text1"/>
          <w:sz w:val="24"/>
          <w:szCs w:val="24"/>
          <w:highlight w:val="none"/>
          <w14:textFill>
            <w14:solidFill>
              <w14:schemeClr w14:val="tx1"/>
            </w14:solidFill>
          </w14:textFill>
        </w:rPr>
      </w:pPr>
      <w:bookmarkStart w:id="97" w:name="_Toc29878"/>
      <w:bookmarkStart w:id="98" w:name="_Toc62566200"/>
      <w:bookmarkStart w:id="99" w:name="_Toc6681"/>
      <w:r>
        <w:rPr>
          <w:rFonts w:hint="eastAsia" w:ascii="黑体" w:hAnsi="黑体" w:eastAsia="黑体"/>
          <w:b/>
          <w:bCs/>
          <w:color w:val="000000" w:themeColor="text1"/>
          <w:sz w:val="24"/>
          <w:szCs w:val="24"/>
          <w:highlight w:val="none"/>
          <w14:textFill>
            <w14:solidFill>
              <w14:schemeClr w14:val="tx1"/>
            </w14:solidFill>
          </w14:textFill>
        </w:rPr>
        <w:t>（一）应答函及报价汇总表</w:t>
      </w:r>
    </w:p>
    <w:p w14:paraId="781AD7F2">
      <w:pPr>
        <w:snapToGrid w:val="0"/>
        <w:spacing w:line="400" w:lineRule="exact"/>
        <w:outlineLvl w:val="3"/>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1.应答函</w:t>
      </w:r>
    </w:p>
    <w:p w14:paraId="0DF072C8">
      <w:pPr>
        <w:pStyle w:val="6"/>
        <w:rPr>
          <w:highlight w:val="none"/>
        </w:rPr>
      </w:pPr>
    </w:p>
    <w:bookmarkEnd w:id="97"/>
    <w:bookmarkEnd w:id="98"/>
    <w:bookmarkEnd w:id="99"/>
    <w:p w14:paraId="79F05E75">
      <w:pPr>
        <w:spacing w:before="317" w:beforeLines="100" w:after="158" w:afterLines="50" w:line="400" w:lineRule="exact"/>
        <w:jc w:val="center"/>
        <w:rPr>
          <w:rFonts w:ascii="黑体" w:hAnsi="宋体" w:eastAsia="黑体"/>
          <w:b/>
          <w:color w:val="000000" w:themeColor="text1"/>
          <w:kern w:val="0"/>
          <w:sz w:val="28"/>
          <w:szCs w:val="28"/>
          <w:highlight w:val="none"/>
          <w14:textFill>
            <w14:solidFill>
              <w14:schemeClr w14:val="tx1"/>
            </w14:solidFill>
          </w14:textFill>
        </w:rPr>
      </w:pPr>
      <w:bookmarkStart w:id="100" w:name="_Toc3494"/>
      <w:bookmarkStart w:id="101" w:name="_Toc1858"/>
      <w:r>
        <w:rPr>
          <w:rFonts w:hint="eastAsia" w:ascii="黑体" w:hAnsi="宋体" w:eastAsia="黑体"/>
          <w:b/>
          <w:color w:val="000000" w:themeColor="text1"/>
          <w:kern w:val="0"/>
          <w:sz w:val="28"/>
          <w:szCs w:val="28"/>
          <w:highlight w:val="none"/>
          <w14:textFill>
            <w14:solidFill>
              <w14:schemeClr w14:val="tx1"/>
            </w14:solidFill>
          </w14:textFill>
        </w:rPr>
        <w:t>应答函</w:t>
      </w:r>
      <w:bookmarkEnd w:id="100"/>
      <w:bookmarkEnd w:id="101"/>
      <w:r>
        <w:rPr>
          <w:rFonts w:hint="eastAsia" w:ascii="黑体" w:hAnsi="宋体" w:eastAsia="黑体"/>
          <w:b/>
          <w:color w:val="000000" w:themeColor="text1"/>
          <w:kern w:val="0"/>
          <w:sz w:val="28"/>
          <w:szCs w:val="28"/>
          <w:highlight w:val="none"/>
          <w14:textFill>
            <w14:solidFill>
              <w14:schemeClr w14:val="tx1"/>
            </w14:solidFill>
          </w14:textFill>
        </w:rPr>
        <w:t>（格式）</w:t>
      </w:r>
    </w:p>
    <w:p w14:paraId="2CA5698E">
      <w:pPr>
        <w:adjustRightInd w:val="0"/>
        <w:snapToGrid w:val="0"/>
        <w:spacing w:line="400" w:lineRule="exact"/>
        <w:ind w:firstLine="48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致：采购人</w:t>
      </w:r>
    </w:p>
    <w:p w14:paraId="7F424CD2">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 我方已仔细研究了采购项目名称：，采购文件的全部内容，愿意以应答函附件所列报价，按合同约定完成采购文件规定的各项工作，质量标准达到采购文件要求。</w:t>
      </w:r>
    </w:p>
    <w:p w14:paraId="3136DCAB">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2. 我方承诺在应答有效期内不修改、撤销应答文件。</w:t>
      </w:r>
    </w:p>
    <w:p w14:paraId="533D27F2">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3. 随同本应答函提交应答保证金一份（如有）。</w:t>
      </w:r>
    </w:p>
    <w:p w14:paraId="65A600FB">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4. 本应答有效期满足采购文件要求。</w:t>
      </w:r>
    </w:p>
    <w:p w14:paraId="023E9D4B">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5. 如我方成交</w:t>
      </w:r>
    </w:p>
    <w:p w14:paraId="7F6DEBB0">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（1）我方承诺在收到成交通知书后，在成交通知书约定的期限内与采购文件规定的主体签订合同。</w:t>
      </w:r>
    </w:p>
    <w:p w14:paraId="1A9E1EF1">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（2）我方承诺按照采购文件规定向采购人所属合同签约主体递交履约担保。</w:t>
      </w:r>
    </w:p>
    <w:p w14:paraId="58C3F732">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（3）我方承诺在合同约定的期限内完成各项工作。</w:t>
      </w:r>
    </w:p>
    <w:p w14:paraId="4C3C8C3A">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（4）我方同意应答人须知关于不退还应答保证金的规定。</w:t>
      </w:r>
    </w:p>
    <w:p w14:paraId="3842EF7F">
      <w:pPr>
        <w:adjustRightInd w:val="0"/>
        <w:snapToGrid w:val="0"/>
        <w:spacing w:line="400" w:lineRule="exact"/>
        <w:ind w:firstLine="480" w:firstLineChars="200"/>
        <w:rPr>
          <w:rFonts w:hint="eastAsia" w:ascii="宋体" w:hAnsi="宋体" w:cs="宋体"/>
          <w:sz w:val="21"/>
          <w:szCs w:val="21"/>
          <w:highlight w:val="none"/>
        </w:rPr>
      </w:pPr>
      <w:r>
        <w:rPr>
          <w:rFonts w:hint="eastAsia" w:ascii="宋体" w:hAnsi="宋体" w:cs="宋体"/>
          <w:szCs w:val="21"/>
          <w:highlight w:val="none"/>
        </w:rPr>
        <w:t>（5）随同本应答函递交的应答函附表属于合同文件的组成部分。</w:t>
      </w:r>
    </w:p>
    <w:p w14:paraId="5B5D56D0">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6. 我方在此声明，所递交的应答文件及有关资料内容完整、真实和准确。</w:t>
      </w:r>
    </w:p>
    <w:p w14:paraId="3D4F7AE6">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7. 我方承诺除已写明的商务、技术偏差外，我方完全响应合同条款的各项规定。</w:t>
      </w:r>
    </w:p>
    <w:p w14:paraId="24F951BC">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8. 我方完全理解并郑重承诺如下：</w:t>
      </w:r>
    </w:p>
    <w:p w14:paraId="110C9CD7">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（1）不以任何形式通过社会上的“代理”、“中介”、“掮客”等不正当手段谋取成交；</w:t>
      </w:r>
    </w:p>
    <w:p w14:paraId="39BECBE6">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（2）不以任何形式打着领导及其亲友旗号或冒充领导及其亲友等采取不正当手段谋取成交；</w:t>
      </w:r>
    </w:p>
    <w:p w14:paraId="6156A3BF">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（3）不以任何名义向参与采购、评审工作的有关人员赠送回扣、红包、礼金、购物卡、有价证券、贵重物品和好处费、感谢费等；不以任何名义向参与采购、评审工作的有关人员提供高消费宴请及娱乐活动；</w:t>
      </w:r>
    </w:p>
    <w:p w14:paraId="5411DB82">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（4）不以任何名义为参与采购、评审工作的有关人员报销应由参与采购、评审工作的有关人员支付的任何费用；</w:t>
      </w:r>
    </w:p>
    <w:p w14:paraId="6074FD08">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（5）不以谋取非正当利益为目的，与参与采购、评审工作的有关人员就业务问题进行私下商谈或者达成利益默契；</w:t>
      </w:r>
    </w:p>
    <w:p w14:paraId="666D37A2">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（6）不以任何名义接受或暗示为参与采购、评审工作的有关人员装修住房、婚丧嫁娶以及境内外旅游等提供方便；</w:t>
      </w:r>
    </w:p>
    <w:p w14:paraId="5E517F49">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（7）不与采购人工作人员串通应答，损害国家利益、企业利益以及他人的合法利益；</w:t>
      </w:r>
    </w:p>
    <w:p w14:paraId="0C67D4C3">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（8）不以任何方式与其他应答人相互串通应答，不排挤其他应答人，不损害采购人或其他应答人的合法权益；</w:t>
      </w:r>
    </w:p>
    <w:p w14:paraId="62CA8B24">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（9）不采取捏造事实或者提供虚假投诉材料，恶意投诉、诋毁、排挤其他供应商；</w:t>
      </w:r>
    </w:p>
    <w:p w14:paraId="6C35817C">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（10）参与招标采购活动时不以任何形式提供任何虚假信息或证明文件。</w:t>
      </w:r>
    </w:p>
    <w:p w14:paraId="276FF483">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11）我方已自行在中国裁判文书网查询确认、并承诺，我方、公司法定代表人（单位负责人）、拟委任的项目负责人（如采购文件要求委任项目负责人），在本次应答截止日前三年时间内，均未有行贿犯罪行为。</w:t>
      </w:r>
    </w:p>
    <w:p w14:paraId="27257637">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w:t>
      </w:r>
      <w:r>
        <w:rPr>
          <w:rFonts w:hint="default" w:ascii="宋体" w:hAnsi="宋体" w:cs="宋体"/>
          <w:szCs w:val="21"/>
          <w:highlight w:val="none"/>
        </w:rPr>
        <w:t>2</w:t>
      </w:r>
      <w:r>
        <w:rPr>
          <w:rFonts w:hint="eastAsia" w:ascii="宋体" w:hAnsi="宋体" w:cs="宋体"/>
          <w:szCs w:val="21"/>
          <w:highlight w:val="none"/>
        </w:rPr>
        <w:t>）承诺践诺，履行工程服务质量主体责任。牢固树立“质量第一”意识，严格按照采购文件、应答响应、承包合同的约定，提供满足技术规范要求的工程服务，保证服务质量。增强企业全员服务质量主体责任意识，建立健全质量责任制度，明确岗位职责，把质量责任落实到工程建设的每一个环节和每一名员工。</w:t>
      </w:r>
    </w:p>
    <w:p w14:paraId="5084C5B5">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w:t>
      </w:r>
      <w:r>
        <w:rPr>
          <w:rFonts w:hint="default" w:ascii="宋体" w:hAnsi="宋体" w:cs="宋体"/>
          <w:szCs w:val="21"/>
          <w:highlight w:val="none"/>
        </w:rPr>
        <w:t>3</w:t>
      </w:r>
      <w:r>
        <w:rPr>
          <w:rFonts w:hint="eastAsia" w:ascii="宋体" w:hAnsi="宋体" w:cs="宋体"/>
          <w:szCs w:val="21"/>
          <w:highlight w:val="none"/>
        </w:rPr>
        <w:t>）诚信至上，坚持诚实守信依法经营。依法依规参与招投标和从事生产经营活动，坚决杜绝采用不正常手段从事非正常投标活动，坚决杜绝偷工减料、以次充好，坚决杜绝违规转分包，自觉抵制恶意低价竞标、虚假投标、联合串标、恶意违约等不诚信行为，自觉接受社会、用户的监督。</w:t>
      </w:r>
    </w:p>
    <w:p w14:paraId="7C0E051C">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w:t>
      </w:r>
      <w:r>
        <w:rPr>
          <w:rFonts w:hint="default" w:ascii="宋体" w:hAnsi="宋体" w:cs="宋体"/>
          <w:szCs w:val="21"/>
          <w:highlight w:val="none"/>
        </w:rPr>
        <w:t>4</w:t>
      </w:r>
      <w:r>
        <w:rPr>
          <w:rFonts w:hint="eastAsia" w:ascii="宋体" w:hAnsi="宋体" w:cs="宋体"/>
          <w:szCs w:val="21"/>
          <w:highlight w:val="none"/>
        </w:rPr>
        <w:t>）严格管理，强化履约过程质量控制。落实安全生产责任，推行先进质量管理方法，完善质量保证体系、标准化体系和检验检测体系，严格执行工程建设质量标准，从工程建设各个环节，实施全面的质量管控，不断提高工程建设质量。</w:t>
      </w:r>
    </w:p>
    <w:p w14:paraId="089826E5">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（1</w:t>
      </w:r>
      <w:r>
        <w:rPr>
          <w:rFonts w:hint="default" w:ascii="宋体" w:hAnsi="宋体" w:cs="宋体"/>
          <w:szCs w:val="21"/>
          <w:highlight w:val="none"/>
        </w:rPr>
        <w:t>5</w:t>
      </w:r>
      <w:r>
        <w:rPr>
          <w:rFonts w:hint="eastAsia" w:ascii="宋体" w:hAnsi="宋体" w:cs="宋体"/>
          <w:szCs w:val="21"/>
          <w:highlight w:val="none"/>
        </w:rPr>
        <w:t>）积极主动，大力提升服务水平。健全和完善工程质量追溯制度，对不合格事项实行有效追溯并及时整改，对违反规定或约定的行为，积极承担相应的责任。做好工程现场的人员管理、技术支持，加强信息跟踪和服务，提升用户满意度。</w:t>
      </w:r>
    </w:p>
    <w:p w14:paraId="08F3DC0C">
      <w:pPr>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贵公司既可根据国家有关单位的判决、裁定等</w:t>
      </w:r>
      <w:r>
        <w:rPr>
          <w:rFonts w:hint="eastAsia" w:ascii="宋体" w:hAnsi="宋体" w:eastAsia="宋体" w:cs="宋体"/>
          <w:szCs w:val="21"/>
          <w:highlight w:val="none"/>
        </w:rPr>
        <w:t>生效法律文书</w:t>
      </w:r>
      <w:r>
        <w:rPr>
          <w:rFonts w:hint="eastAsia" w:ascii="宋体" w:hAnsi="宋体" w:cs="宋体"/>
          <w:szCs w:val="21"/>
          <w:highlight w:val="none"/>
        </w:rPr>
        <w:t>认定我方是否违反承诺，也有权通过对贵公司相关人员的调查来认定我方是否违反承诺。如违反以上承诺，我方自愿接受贵公司依据有关规定对我方的处理（包括但不限于拒绝我方应答、取消成交资格以及终止合同等），给贵公司造成损失的，予以赔偿</w:t>
      </w:r>
      <w:r>
        <w:rPr>
          <w:rFonts w:hint="eastAsia" w:ascii="宋体" w:hAnsi="宋体" w:cs="宋体"/>
          <w:color w:val="000000" w:themeColor="text1"/>
          <w:szCs w:val="21"/>
          <w:highlight w:val="none"/>
          <w14:textFill>
            <w14:solidFill>
              <w14:schemeClr w14:val="tx1"/>
            </w14:solidFill>
          </w14:textFill>
        </w:rPr>
        <w:t>。</w:t>
      </w:r>
      <w:bookmarkStart w:id="102" w:name="_Toc259176816"/>
      <w:bookmarkStart w:id="103" w:name="_Toc269453531"/>
      <w:bookmarkStart w:id="104" w:name="_Toc224214793"/>
      <w:bookmarkStart w:id="105" w:name="_Toc224215349"/>
      <w:bookmarkStart w:id="106" w:name="_Toc224214885"/>
    </w:p>
    <w:p w14:paraId="07186945">
      <w:pPr>
        <w:spacing w:line="400" w:lineRule="exact"/>
        <w:ind w:firstLine="48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default" w:ascii="宋体" w:hAnsi="宋体" w:cs="宋体"/>
          <w:szCs w:val="21"/>
          <w:highlight w:val="none"/>
          <w:lang w:eastAsia="zh-CN"/>
        </w:rPr>
        <w:t>6</w:t>
      </w:r>
      <w:r>
        <w:rPr>
          <w:rFonts w:hint="eastAsia" w:ascii="宋体" w:hAnsi="宋体" w:cs="宋体"/>
          <w:szCs w:val="21"/>
          <w:highlight w:val="none"/>
          <w:lang w:eastAsia="zh-CN"/>
        </w:rPr>
        <w:t>）</w:t>
      </w:r>
      <w:r>
        <w:rPr>
          <w:rFonts w:hint="eastAsia" w:ascii="宋体" w:hAnsi="宋体" w:cs="宋体"/>
          <w:szCs w:val="21"/>
          <w:highlight w:val="none"/>
        </w:rPr>
        <w:t>我方承诺，我方及外购外协供应商（如有）将充分配合</w:t>
      </w:r>
      <w:r>
        <w:rPr>
          <w:rFonts w:hint="default" w:ascii="宋体" w:hAnsi="宋体" w:cs="宋体"/>
          <w:szCs w:val="21"/>
          <w:highlight w:val="none"/>
        </w:rPr>
        <w:t>贵</w:t>
      </w:r>
      <w:r>
        <w:rPr>
          <w:rFonts w:hint="eastAsia" w:ascii="宋体" w:hAnsi="宋体" w:cs="宋体"/>
          <w:szCs w:val="21"/>
          <w:highlight w:val="none"/>
        </w:rPr>
        <w:t>公司开展供应商资质能力核实工作，如我方或外购外协供应商（如有）未配合，或应答信息不真实准确，或经核实不具备生产应答产品所需的生产能力，我方同意被取消成交资格。同时如我方或外购外协供应商（如有）</w:t>
      </w:r>
      <w:r>
        <w:rPr>
          <w:rFonts w:hint="eastAsia" w:ascii="宋体" w:hAnsi="宋体" w:cs="宋体"/>
          <w:szCs w:val="21"/>
          <w:highlight w:val="none"/>
          <w:lang w:val="en-US" w:eastAsia="zh-CN"/>
        </w:rPr>
        <w:t>提供</w:t>
      </w:r>
      <w:r>
        <w:rPr>
          <w:rFonts w:hint="eastAsia" w:ascii="宋体" w:hAnsi="宋体" w:cs="宋体"/>
          <w:szCs w:val="21"/>
          <w:highlight w:val="none"/>
        </w:rPr>
        <w:t>虚假应答信息，我方同意接受被纳入供应商不良行为处理的后果。</w:t>
      </w:r>
    </w:p>
    <w:p w14:paraId="3B9DEA0E">
      <w:pPr>
        <w:pStyle w:val="6"/>
        <w:spacing w:line="400" w:lineRule="exact"/>
        <w:rPr>
          <w:rFonts w:hint="eastAsia" w:ascii="宋体" w:hAnsi="宋体" w:cs="宋体"/>
          <w:sz w:val="21"/>
          <w:szCs w:val="21"/>
          <w:highlight w:val="none"/>
        </w:rPr>
      </w:pPr>
    </w:p>
    <w:p w14:paraId="181BCF79">
      <w:pPr>
        <w:adjustRightInd w:val="0"/>
        <w:snapToGrid w:val="0"/>
        <w:spacing w:line="4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应答人：</w:t>
      </w:r>
    </w:p>
    <w:p w14:paraId="2515E34C">
      <w:pPr>
        <w:adjustRightInd w:val="0"/>
        <w:snapToGrid w:val="0"/>
        <w:spacing w:line="4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p>
    <w:p w14:paraId="34FB40E1">
      <w:pPr>
        <w:adjustRightInd w:val="0"/>
        <w:snapToGrid w:val="0"/>
        <w:spacing w:line="4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法定代表人（单位负责人）或授权代表：</w:t>
      </w:r>
    </w:p>
    <w:p w14:paraId="1654EC6C">
      <w:pPr>
        <w:adjustRightInd w:val="0"/>
        <w:snapToGrid w:val="0"/>
        <w:spacing w:line="4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p w14:paraId="1B5BFF34">
      <w:pPr>
        <w:adjustRightInd w:val="0"/>
        <w:snapToGrid w:val="0"/>
        <w:spacing w:line="4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p w14:paraId="7B56D88F">
      <w:pPr>
        <w:adjustRightInd w:val="0"/>
        <w:snapToGrid w:val="0"/>
        <w:spacing w:line="40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p w14:paraId="5EE98B9A">
      <w:pPr>
        <w:adjustRightInd w:val="0"/>
        <w:snapToGrid w:val="0"/>
        <w:spacing w:line="400" w:lineRule="exact"/>
        <w:jc w:val="righ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日期：年月日</w:t>
      </w:r>
    </w:p>
    <w:p w14:paraId="74B77A0A">
      <w:pPr>
        <w:adjustRightInd w:val="0"/>
        <w:snapToGrid w:val="0"/>
        <w:spacing w:line="400" w:lineRule="exact"/>
        <w:outlineLvl w:val="3"/>
        <w:rPr>
          <w:rFonts w:ascii="黑体" w:eastAsia="黑体"/>
          <w:b/>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column"/>
      </w:r>
      <w:bookmarkEnd w:id="102"/>
      <w:bookmarkEnd w:id="103"/>
      <w:bookmarkEnd w:id="104"/>
      <w:bookmarkEnd w:id="105"/>
      <w:bookmarkEnd w:id="106"/>
      <w:r>
        <w:rPr>
          <w:rFonts w:hint="eastAsia" w:ascii="黑体" w:eastAsia="黑体"/>
          <w:b/>
          <w:color w:val="000000" w:themeColor="text1"/>
          <w:sz w:val="24"/>
          <w:szCs w:val="24"/>
          <w:highlight w:val="none"/>
          <w14:textFill>
            <w14:solidFill>
              <w14:schemeClr w14:val="tx1"/>
            </w14:solidFill>
          </w14:textFill>
        </w:rPr>
        <w:t>附表1应答函价格表</w:t>
      </w:r>
    </w:p>
    <w:p w14:paraId="305FF702">
      <w:pPr>
        <w:adjustRightInd w:val="0"/>
        <w:snapToGrid w:val="0"/>
        <w:spacing w:before="317" w:beforeLines="100" w:after="158" w:afterLines="50" w:line="400" w:lineRule="exact"/>
        <w:jc w:val="center"/>
        <w:rPr>
          <w:rFonts w:ascii="黑体" w:hAnsi="宋体" w:eastAsia="黑体"/>
          <w:b/>
          <w:color w:val="000000" w:themeColor="text1"/>
          <w:kern w:val="0"/>
          <w:sz w:val="28"/>
          <w:szCs w:val="28"/>
          <w:highlight w:val="none"/>
          <w14:textFill>
            <w14:solidFill>
              <w14:schemeClr w14:val="tx1"/>
            </w14:solidFill>
          </w14:textFill>
        </w:rPr>
      </w:pPr>
      <w:r>
        <w:rPr>
          <w:rFonts w:hint="eastAsia" w:ascii="黑体" w:eastAsia="黑体"/>
          <w:b/>
          <w:color w:val="000000" w:themeColor="text1"/>
          <w:sz w:val="28"/>
          <w:szCs w:val="24"/>
          <w:highlight w:val="none"/>
          <w14:textFill>
            <w14:solidFill>
              <w14:schemeClr w14:val="tx1"/>
            </w14:solidFill>
          </w14:textFill>
        </w:rPr>
        <w:t>应答函价格表</w:t>
      </w:r>
    </w:p>
    <w:p w14:paraId="79015295">
      <w:pPr>
        <w:adjustRightInd w:val="0"/>
        <w:snapToGrid w:val="0"/>
        <w:jc w:val="center"/>
        <w:rPr>
          <w:rFonts w:ascii="黑体" w:hAnsi="黑体" w:eastAsia="黑体"/>
          <w:b/>
          <w:color w:val="000000" w:themeColor="text1"/>
          <w:sz w:val="28"/>
          <w:szCs w:val="28"/>
          <w:highlight w:val="none"/>
          <w14:textFill>
            <w14:solidFill>
              <w14:schemeClr w14:val="tx1"/>
            </w14:solidFill>
          </w14:textFill>
        </w:rPr>
      </w:pPr>
    </w:p>
    <w:p w14:paraId="4016336E">
      <w:pPr>
        <w:pStyle w:val="9"/>
        <w:spacing w:line="360" w:lineRule="auto"/>
        <w:rPr>
          <w:rFonts w:hAnsi="宋体"/>
          <w:color w:val="000000" w:themeColor="text1"/>
          <w:spacing w:val="8"/>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项目名称：</w:t>
      </w:r>
    </w:p>
    <w:p w14:paraId="210EAD49">
      <w:pPr>
        <w:pStyle w:val="9"/>
        <w:spacing w:line="360" w:lineRule="auto"/>
        <w:rPr>
          <w:rFonts w:ascii="Calibri" w:hAnsi="Calibri"/>
          <w:color w:val="000000" w:themeColor="text1"/>
          <w:spacing w:val="8"/>
          <w:highlight w:val="none"/>
          <w:u w:val="single"/>
          <w14:textFill>
            <w14:solidFill>
              <w14:schemeClr w14:val="tx1"/>
            </w14:solidFill>
          </w14:textFill>
        </w:rPr>
      </w:pPr>
      <w:r>
        <w:rPr>
          <w:rFonts w:hint="eastAsia" w:ascii="Calibri" w:hAnsi="宋体"/>
          <w:color w:val="000000" w:themeColor="text1"/>
          <w:spacing w:val="8"/>
          <w:highlight w:val="none"/>
          <w14:textFill>
            <w14:solidFill>
              <w14:schemeClr w14:val="tx1"/>
            </w14:solidFill>
          </w14:textFill>
        </w:rPr>
        <w:t>单位：</w:t>
      </w:r>
      <w:r>
        <w:rPr>
          <w:rFonts w:hint="eastAsia" w:ascii="Calibri" w:hAnsi="宋体"/>
          <w:color w:val="000000" w:themeColor="text1"/>
          <w:spacing w:val="8"/>
          <w:highlight w:val="none"/>
          <w:u w:val="single"/>
          <w14:textFill>
            <w14:solidFill>
              <w14:schemeClr w14:val="tx1"/>
            </w14:solidFill>
          </w14:textFill>
        </w:rPr>
        <w:t>万元人民币</w:t>
      </w:r>
    </w:p>
    <w:tbl>
      <w:tblPr>
        <w:tblStyle w:val="16"/>
        <w:tblW w:w="92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3937"/>
        <w:gridCol w:w="3935"/>
      </w:tblGrid>
      <w:tr w14:paraId="7D548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tcBorders>
              <w:top w:val="single" w:color="auto" w:sz="8" w:space="0"/>
              <w:left w:val="single" w:color="auto" w:sz="8" w:space="0"/>
              <w:bottom w:val="single" w:color="auto" w:sz="4" w:space="0"/>
              <w:right w:val="single" w:color="auto" w:sz="4" w:space="0"/>
            </w:tcBorders>
            <w:vAlign w:val="center"/>
          </w:tcPr>
          <w:p w14:paraId="729DDB8C">
            <w:pPr>
              <w:tabs>
                <w:tab w:val="left" w:pos="7020"/>
                <w:tab w:val="left" w:pos="9000"/>
              </w:tabs>
              <w:adjustRightInd w:val="0"/>
              <w:snapToGrid w:val="0"/>
              <w:jc w:val="center"/>
              <w:rPr>
                <w:rFonts w:hint="default" w:ascii="宋体" w:hAnsi="宋体" w:cs="宋体"/>
                <w:b/>
                <w:color w:val="000000" w:themeColor="text1"/>
                <w:szCs w:val="21"/>
                <w:highlight w:val="none"/>
                <w14:textFill>
                  <w14:solidFill>
                    <w14:schemeClr w14:val="tx1"/>
                  </w14:solidFill>
                </w14:textFill>
              </w:rPr>
            </w:pPr>
            <w:r>
              <w:rPr>
                <w:rFonts w:hint="default" w:ascii="宋体" w:hAnsi="宋体" w:cs="宋体"/>
                <w:b/>
                <w:color w:val="000000" w:themeColor="text1"/>
                <w:szCs w:val="21"/>
                <w:highlight w:val="none"/>
                <w14:textFill>
                  <w14:solidFill>
                    <w14:schemeClr w14:val="tx1"/>
                  </w14:solidFill>
                </w14:textFill>
              </w:rPr>
              <w:t>报价次数</w:t>
            </w:r>
          </w:p>
        </w:tc>
        <w:tc>
          <w:tcPr>
            <w:tcW w:w="3937" w:type="dxa"/>
            <w:tcBorders>
              <w:top w:val="single" w:color="auto" w:sz="8" w:space="0"/>
              <w:left w:val="single" w:color="auto" w:sz="4" w:space="0"/>
              <w:bottom w:val="single" w:color="auto" w:sz="4" w:space="0"/>
              <w:right w:val="single" w:color="auto" w:sz="4" w:space="0"/>
            </w:tcBorders>
            <w:vAlign w:val="center"/>
          </w:tcPr>
          <w:p w14:paraId="089DFE85">
            <w:pPr>
              <w:tabs>
                <w:tab w:val="left" w:pos="7020"/>
                <w:tab w:val="left" w:pos="9000"/>
              </w:tabs>
              <w:adjustRightInd w:val="0"/>
              <w:snapToGrid w:val="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应答总价</w:t>
            </w:r>
          </w:p>
        </w:tc>
        <w:tc>
          <w:tcPr>
            <w:tcW w:w="3935" w:type="dxa"/>
            <w:tcBorders>
              <w:top w:val="single" w:color="auto" w:sz="8" w:space="0"/>
              <w:left w:val="single" w:color="auto" w:sz="4" w:space="0"/>
              <w:bottom w:val="single" w:color="auto" w:sz="4" w:space="0"/>
              <w:right w:val="single" w:color="auto" w:sz="8" w:space="0"/>
            </w:tcBorders>
            <w:vAlign w:val="center"/>
          </w:tcPr>
          <w:p w14:paraId="000F55DE">
            <w:pPr>
              <w:tabs>
                <w:tab w:val="left" w:pos="7020"/>
                <w:tab w:val="left" w:pos="9000"/>
              </w:tabs>
              <w:adjustRightInd w:val="0"/>
              <w:snapToGrid w:val="0"/>
              <w:jc w:val="center"/>
              <w:rPr>
                <w:rFonts w:hint="default" w:ascii="宋体" w:hAnsi="宋体" w:cs="宋体"/>
                <w:b/>
                <w:color w:val="000000" w:themeColor="text1"/>
                <w:szCs w:val="21"/>
                <w:highlight w:val="none"/>
                <w14:textFill>
                  <w14:solidFill>
                    <w14:schemeClr w14:val="tx1"/>
                  </w14:solidFill>
                </w14:textFill>
              </w:rPr>
            </w:pPr>
            <w:r>
              <w:rPr>
                <w:rFonts w:hint="default" w:ascii="宋体" w:hAnsi="宋体" w:cs="宋体"/>
                <w:b/>
                <w:color w:val="000000" w:themeColor="text1"/>
                <w:szCs w:val="21"/>
                <w:highlight w:val="none"/>
                <w14:textFill>
                  <w14:solidFill>
                    <w14:schemeClr w14:val="tx1"/>
                  </w14:solidFill>
                </w14:textFill>
              </w:rPr>
              <w:t>备注</w:t>
            </w:r>
          </w:p>
        </w:tc>
      </w:tr>
      <w:tr w14:paraId="3281E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14" w:type="dxa"/>
            <w:vMerge w:val="restart"/>
            <w:tcBorders>
              <w:top w:val="single" w:color="auto" w:sz="4" w:space="0"/>
              <w:left w:val="single" w:color="auto" w:sz="8" w:space="0"/>
              <w:bottom w:val="single" w:color="auto" w:sz="4" w:space="0"/>
              <w:right w:val="single" w:color="auto" w:sz="4" w:space="0"/>
            </w:tcBorders>
            <w:vAlign w:val="center"/>
          </w:tcPr>
          <w:p w14:paraId="0BB0EDE5">
            <w:pPr>
              <w:keepNext/>
              <w:keepLines/>
              <w:tabs>
                <w:tab w:val="left" w:pos="7020"/>
                <w:tab w:val="left" w:pos="9000"/>
              </w:tabs>
              <w:adjustRightInd w:val="0"/>
              <w:snapToGrid w:val="0"/>
              <w:spacing w:before="340" w:after="330" w:line="578" w:lineRule="auto"/>
              <w:jc w:val="center"/>
              <w:outlineLvl w:val="0"/>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第</w:t>
            </w:r>
            <w:r>
              <w:rPr>
                <w:rFonts w:hint="default"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次</w:t>
            </w:r>
          </w:p>
        </w:tc>
        <w:tc>
          <w:tcPr>
            <w:tcW w:w="3937" w:type="dxa"/>
            <w:tcBorders>
              <w:top w:val="single" w:color="auto" w:sz="4" w:space="0"/>
              <w:left w:val="single" w:color="auto" w:sz="4" w:space="0"/>
              <w:bottom w:val="single" w:color="auto" w:sz="4" w:space="0"/>
              <w:right w:val="single" w:color="auto" w:sz="4" w:space="0"/>
            </w:tcBorders>
            <w:vAlign w:val="center"/>
          </w:tcPr>
          <w:p w14:paraId="30EA1A66">
            <w:pPr>
              <w:tabs>
                <w:tab w:val="left" w:pos="7020"/>
                <w:tab w:val="left" w:pos="9000"/>
              </w:tabs>
              <w:adjustRightInd w:val="0"/>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金额（小写）：万元</w:t>
            </w:r>
          </w:p>
        </w:tc>
        <w:tc>
          <w:tcPr>
            <w:tcW w:w="3935" w:type="dxa"/>
            <w:tcBorders>
              <w:top w:val="single" w:color="auto" w:sz="4" w:space="0"/>
              <w:left w:val="single" w:color="auto" w:sz="4" w:space="0"/>
              <w:bottom w:val="single" w:color="auto" w:sz="4" w:space="0"/>
              <w:right w:val="single" w:color="auto" w:sz="8" w:space="0"/>
            </w:tcBorders>
            <w:vAlign w:val="center"/>
          </w:tcPr>
          <w:p w14:paraId="53265EB2">
            <w:pPr>
              <w:tabs>
                <w:tab w:val="left" w:pos="7020"/>
                <w:tab w:val="left" w:pos="9000"/>
              </w:tabs>
              <w:adjustRightInd w:val="0"/>
              <w:snapToGrid w:val="0"/>
              <w:rPr>
                <w:rFonts w:ascii="宋体" w:hAnsi="宋体" w:cs="宋体"/>
                <w:color w:val="000000" w:themeColor="text1"/>
                <w:szCs w:val="21"/>
                <w:highlight w:val="none"/>
                <w14:textFill>
                  <w14:solidFill>
                    <w14:schemeClr w14:val="tx1"/>
                  </w14:solidFill>
                </w14:textFill>
              </w:rPr>
            </w:pPr>
          </w:p>
        </w:tc>
      </w:tr>
      <w:tr w14:paraId="17E96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Merge w:val="continue"/>
            <w:tcBorders>
              <w:top w:val="single" w:color="auto" w:sz="4" w:space="0"/>
              <w:left w:val="single" w:color="auto" w:sz="8" w:space="0"/>
              <w:bottom w:val="single" w:color="auto" w:sz="8" w:space="0"/>
              <w:right w:val="single" w:color="auto" w:sz="4" w:space="0"/>
            </w:tcBorders>
            <w:vAlign w:val="center"/>
          </w:tcPr>
          <w:p w14:paraId="02D24E62">
            <w:pPr>
              <w:keepNext/>
              <w:keepLines/>
              <w:tabs>
                <w:tab w:val="left" w:pos="7020"/>
                <w:tab w:val="left" w:pos="9000"/>
              </w:tabs>
              <w:adjustRightInd w:val="0"/>
              <w:snapToGrid w:val="0"/>
              <w:spacing w:before="260" w:after="260" w:line="416" w:lineRule="auto"/>
              <w:jc w:val="center"/>
              <w:rPr>
                <w:rFonts w:ascii="宋体" w:hAnsi="宋体" w:cs="宋体"/>
                <w:color w:val="000000" w:themeColor="text1"/>
                <w:szCs w:val="21"/>
                <w:highlight w:val="none"/>
                <w14:textFill>
                  <w14:solidFill>
                    <w14:schemeClr w14:val="tx1"/>
                  </w14:solidFill>
                </w14:textFill>
              </w:rPr>
            </w:pPr>
          </w:p>
        </w:tc>
        <w:tc>
          <w:tcPr>
            <w:tcW w:w="3937" w:type="dxa"/>
            <w:tcBorders>
              <w:top w:val="single" w:color="auto" w:sz="4" w:space="0"/>
              <w:left w:val="single" w:color="auto" w:sz="4" w:space="0"/>
              <w:bottom w:val="single" w:color="auto" w:sz="8" w:space="0"/>
              <w:right w:val="single" w:color="auto" w:sz="4" w:space="0"/>
            </w:tcBorders>
            <w:vAlign w:val="center"/>
          </w:tcPr>
          <w:p w14:paraId="4AE55B55">
            <w:pPr>
              <w:tabs>
                <w:tab w:val="left" w:pos="7020"/>
                <w:tab w:val="left" w:pos="9000"/>
              </w:tabs>
              <w:adjustRightInd w:val="0"/>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tc>
        <w:tc>
          <w:tcPr>
            <w:tcW w:w="3935" w:type="dxa"/>
            <w:tcBorders>
              <w:top w:val="single" w:color="auto" w:sz="4" w:space="0"/>
              <w:left w:val="single" w:color="auto" w:sz="4" w:space="0"/>
              <w:bottom w:val="single" w:color="auto" w:sz="8" w:space="0"/>
              <w:right w:val="single" w:color="auto" w:sz="8" w:space="0"/>
            </w:tcBorders>
            <w:vAlign w:val="center"/>
          </w:tcPr>
          <w:p w14:paraId="172DEB5F">
            <w:pPr>
              <w:keepNext/>
              <w:keepLines/>
              <w:tabs>
                <w:tab w:val="left" w:pos="7020"/>
                <w:tab w:val="left" w:pos="9000"/>
              </w:tabs>
              <w:adjustRightInd w:val="0"/>
              <w:snapToGrid w:val="0"/>
              <w:spacing w:before="260" w:after="260" w:line="416" w:lineRule="auto"/>
              <w:rPr>
                <w:rFonts w:ascii="宋体" w:hAnsi="宋体" w:cs="宋体"/>
                <w:color w:val="000000" w:themeColor="text1"/>
                <w:szCs w:val="21"/>
                <w:highlight w:val="none"/>
                <w14:textFill>
                  <w14:solidFill>
                    <w14:schemeClr w14:val="tx1"/>
                  </w14:solidFill>
                </w14:textFill>
              </w:rPr>
            </w:pPr>
          </w:p>
        </w:tc>
      </w:tr>
    </w:tbl>
    <w:p w14:paraId="0CF908E8">
      <w:pPr>
        <w:adjustRightInd w:val="0"/>
        <w:snapToGrid w:val="0"/>
        <w:spacing w:line="400" w:lineRule="exact"/>
        <w:outlineLvl w:val="1"/>
        <w:rPr>
          <w:rFonts w:ascii="黑体" w:hAnsi="Arial" w:eastAsia="黑体"/>
          <w:b/>
          <w:color w:val="000000" w:themeColor="text1"/>
          <w:sz w:val="28"/>
          <w:szCs w:val="28"/>
          <w:highlight w:val="none"/>
          <w14:textFill>
            <w14:solidFill>
              <w14:schemeClr w14:val="tx1"/>
            </w14:solidFill>
          </w14:textFill>
        </w:rPr>
        <w:sectPr>
          <w:headerReference r:id="rId5" w:type="default"/>
          <w:footerReference r:id="rId6" w:type="default"/>
          <w:pgSz w:w="11905" w:h="16838"/>
          <w:pgMar w:top="1134" w:right="1803" w:bottom="1134" w:left="1803" w:header="850" w:footer="992" w:gutter="0"/>
          <w:pgBorders>
            <w:top w:val="none" w:sz="0" w:space="0"/>
            <w:left w:val="none" w:sz="0" w:space="0"/>
            <w:bottom w:val="none" w:sz="0" w:space="0"/>
            <w:right w:val="none" w:sz="0" w:space="0"/>
          </w:pgBorders>
          <w:cols w:space="0" w:num="1"/>
          <w:docGrid w:type="lines" w:linePitch="317" w:charSpace="0"/>
        </w:sectPr>
      </w:pPr>
    </w:p>
    <w:p w14:paraId="1F5E581D">
      <w:pPr>
        <w:adjustRightInd w:val="0"/>
        <w:outlineLvl w:val="2"/>
        <w:rPr>
          <w:rFonts w:ascii="黑体" w:eastAsia="黑体"/>
          <w:b/>
          <w:color w:val="000000" w:themeColor="text1"/>
          <w:sz w:val="24"/>
          <w:szCs w:val="24"/>
          <w:highlight w:val="none"/>
          <w14:textFill>
            <w14:solidFill>
              <w14:schemeClr w14:val="tx1"/>
            </w14:solidFill>
          </w14:textFill>
        </w:rPr>
      </w:pPr>
      <w:bookmarkStart w:id="107" w:name="_Toc20569"/>
      <w:bookmarkStart w:id="108" w:name="_Toc27898"/>
      <w:bookmarkStart w:id="109" w:name="_Toc62566201"/>
      <w:r>
        <w:rPr>
          <w:rFonts w:hint="eastAsia" w:ascii="黑体" w:eastAsia="黑体"/>
          <w:b/>
          <w:color w:val="000000" w:themeColor="text1"/>
          <w:sz w:val="24"/>
          <w:szCs w:val="24"/>
          <w:highlight w:val="none"/>
          <w14:textFill>
            <w14:solidFill>
              <w14:schemeClr w14:val="tx1"/>
            </w14:solidFill>
          </w14:textFill>
        </w:rPr>
        <w:t>（二）报价明细表</w:t>
      </w:r>
      <w:bookmarkEnd w:id="107"/>
      <w:bookmarkEnd w:id="108"/>
      <w:bookmarkEnd w:id="109"/>
    </w:p>
    <w:p w14:paraId="5B1EA73E">
      <w:pPr>
        <w:pStyle w:val="4"/>
        <w:spacing w:before="317" w:beforeLines="100" w:after="158" w:afterLines="50" w:line="400" w:lineRule="exact"/>
        <w:ind w:firstLine="0"/>
        <w:rPr>
          <w:rFonts w:ascii="黑体" w:hAnsi="Arial" w:eastAsia="黑体"/>
          <w:color w:val="FF0000"/>
          <w:sz w:val="28"/>
          <w:szCs w:val="28"/>
          <w:highlight w:val="none"/>
        </w:rPr>
      </w:pPr>
      <w:r>
        <w:rPr>
          <w:rFonts w:hint="eastAsia"/>
          <w:b/>
          <w:color w:val="000000"/>
          <w:highlight w:val="none"/>
        </w:rPr>
        <w:t>此处报价明细表为采购文件中的《报价文件》或《工程量清单》，应答人填写价格，检查无误后，将Excel版的文件</w:t>
      </w:r>
      <w:r>
        <w:rPr>
          <w:rFonts w:hint="default"/>
          <w:b/>
          <w:color w:val="000000"/>
          <w:highlight w:val="none"/>
        </w:rPr>
        <w:t>拷入U盘递交</w:t>
      </w:r>
      <w:r>
        <w:rPr>
          <w:rFonts w:hint="eastAsia" w:ascii="黑体" w:eastAsia="黑体"/>
          <w:b/>
          <w:sz w:val="24"/>
          <w:highlight w:val="none"/>
        </w:rPr>
        <w:t>。</w:t>
      </w:r>
    </w:p>
    <w:p w14:paraId="0DBE7DF7">
      <w:pPr>
        <w:pStyle w:val="4"/>
        <w:spacing w:before="317" w:beforeLines="100" w:after="158" w:afterLines="50" w:line="400" w:lineRule="exact"/>
        <w:jc w:val="center"/>
        <w:rPr>
          <w:rFonts w:ascii="黑体" w:hAnsi="Arial" w:eastAsia="黑体"/>
          <w:color w:val="FF0000"/>
          <w:sz w:val="28"/>
          <w:szCs w:val="28"/>
          <w:highlight w:val="none"/>
        </w:rPr>
      </w:pPr>
    </w:p>
    <w:p w14:paraId="7231A849">
      <w:pPr>
        <w:pStyle w:val="14"/>
        <w:ind w:firstLine="0"/>
        <w:rPr>
          <w:highlight w:val="none"/>
        </w:rPr>
      </w:pPr>
    </w:p>
    <w:p w14:paraId="037FFD23">
      <w:pPr>
        <w:pStyle w:val="14"/>
        <w:ind w:firstLine="0"/>
        <w:rPr>
          <w:highlight w:val="none"/>
        </w:rPr>
        <w:sectPr>
          <w:pgSz w:w="11905" w:h="16838"/>
          <w:pgMar w:top="1134" w:right="1803" w:bottom="1134" w:left="1803" w:header="850" w:footer="992" w:gutter="0"/>
          <w:pgBorders>
            <w:top w:val="none" w:sz="0" w:space="0"/>
            <w:left w:val="none" w:sz="0" w:space="0"/>
            <w:bottom w:val="none" w:sz="0" w:space="0"/>
            <w:right w:val="none" w:sz="0" w:space="0"/>
          </w:pgBorders>
          <w:cols w:space="0" w:num="1"/>
          <w:docGrid w:type="lines" w:linePitch="317" w:charSpace="0"/>
        </w:sectPr>
      </w:pPr>
    </w:p>
    <w:p w14:paraId="7A0B6678">
      <w:pPr>
        <w:adjustRightInd w:val="0"/>
        <w:snapToGrid w:val="0"/>
        <w:spacing w:line="400" w:lineRule="exact"/>
        <w:outlineLvl w:val="1"/>
        <w:rPr>
          <w:rFonts w:ascii="黑体" w:hAnsi="Arial" w:eastAsia="黑体"/>
          <w:b/>
          <w:color w:val="000000" w:themeColor="text1"/>
          <w:sz w:val="28"/>
          <w:szCs w:val="28"/>
          <w:highlight w:val="none"/>
          <w14:textFill>
            <w14:solidFill>
              <w14:schemeClr w14:val="tx1"/>
            </w14:solidFill>
          </w14:textFill>
        </w:rPr>
      </w:pPr>
      <w:bookmarkStart w:id="110" w:name="_Toc62566202"/>
      <w:r>
        <w:rPr>
          <w:rFonts w:hint="eastAsia" w:ascii="黑体" w:hAnsi="Arial" w:eastAsia="黑体"/>
          <w:b/>
          <w:color w:val="000000" w:themeColor="text1"/>
          <w:sz w:val="28"/>
          <w:szCs w:val="28"/>
          <w:highlight w:val="none"/>
          <w14:textFill>
            <w14:solidFill>
              <w14:schemeClr w14:val="tx1"/>
            </w14:solidFill>
          </w14:textFill>
        </w:rPr>
        <w:t>二、商务文件</w:t>
      </w:r>
      <w:bookmarkEnd w:id="110"/>
    </w:p>
    <w:p w14:paraId="21620209">
      <w:pPr>
        <w:snapToGrid w:val="0"/>
        <w:spacing w:line="400" w:lineRule="exact"/>
        <w:outlineLvl w:val="2"/>
        <w:rPr>
          <w:rFonts w:ascii="黑体" w:eastAsia="黑体"/>
          <w:b/>
          <w:color w:val="000000" w:themeColor="text1"/>
          <w:sz w:val="24"/>
          <w:szCs w:val="24"/>
          <w:highlight w:val="none"/>
          <w14:textFill>
            <w14:solidFill>
              <w14:schemeClr w14:val="tx1"/>
            </w14:solidFill>
          </w14:textFill>
        </w:rPr>
      </w:pPr>
      <w:bookmarkStart w:id="111" w:name="_Toc62566204"/>
      <w:r>
        <w:rPr>
          <w:rFonts w:hint="eastAsia" w:ascii="黑体" w:eastAsia="黑体"/>
          <w:b/>
          <w:color w:val="000000" w:themeColor="text1"/>
          <w:sz w:val="24"/>
          <w:szCs w:val="24"/>
          <w:highlight w:val="none"/>
          <w14:textFill>
            <w14:solidFill>
              <w14:schemeClr w14:val="tx1"/>
            </w14:solidFill>
          </w14:textFill>
        </w:rPr>
        <w:t>（一）法定代表人（单位负责人）授权委托书（如谈判过程中应答人需授权代表全权处理所有应答、谈判、签约、执行等具体工作签字事宜的，需出具本委托书，否则无需出具。如法定代表人（单位负责人）应答，需出具法定代表人（单位负责人）身份证（扫描件））</w:t>
      </w:r>
    </w:p>
    <w:p w14:paraId="6B1D2ECF">
      <w:pPr>
        <w:adjustRightInd w:val="0"/>
        <w:spacing w:line="400" w:lineRule="exact"/>
        <w:outlineLvl w:val="2"/>
        <w:rPr>
          <w:rFonts w:ascii="黑体" w:hAnsi="Arial" w:eastAsia="黑体"/>
          <w:b/>
          <w:color w:val="000000" w:themeColor="text1"/>
          <w:sz w:val="24"/>
          <w:highlight w:val="none"/>
          <w14:textFill>
            <w14:solidFill>
              <w14:schemeClr w14:val="tx1"/>
            </w14:solidFill>
          </w14:textFill>
        </w:rPr>
      </w:pPr>
      <w:r>
        <w:rPr>
          <w:rFonts w:ascii="黑体" w:eastAsia="黑体"/>
          <w:b/>
          <w:color w:val="000000" w:themeColor="text1"/>
          <w:sz w:val="24"/>
          <w:szCs w:val="24"/>
          <w:highlight w:val="none"/>
          <w14:textFill>
            <w14:solidFill>
              <w14:schemeClr w14:val="tx1"/>
            </w14:solidFill>
          </w14:textFill>
        </w:rPr>
        <w:t xml:space="preserve">1. </w:t>
      </w:r>
      <w:r>
        <w:rPr>
          <w:rFonts w:hint="eastAsia" w:ascii="黑体" w:eastAsia="黑体"/>
          <w:b/>
          <w:color w:val="000000" w:themeColor="text1"/>
          <w:sz w:val="24"/>
          <w:szCs w:val="24"/>
          <w:highlight w:val="none"/>
          <w14:textFill>
            <w14:solidFill>
              <w14:schemeClr w14:val="tx1"/>
            </w14:solidFill>
          </w14:textFill>
        </w:rPr>
        <w:t>法定代表人（单位负责人）授权委托书</w:t>
      </w:r>
    </w:p>
    <w:p w14:paraId="036EF6E0">
      <w:pPr>
        <w:autoSpaceDE w:val="0"/>
        <w:autoSpaceDN w:val="0"/>
        <w:adjustRightInd w:val="0"/>
        <w:snapToGrid w:val="0"/>
        <w:rPr>
          <w:rFonts w:ascii="宋体"/>
          <w:bCs/>
          <w:color w:val="000000" w:themeColor="text1"/>
          <w:szCs w:val="21"/>
          <w:highlight w:val="none"/>
          <w14:textFill>
            <w14:solidFill>
              <w14:schemeClr w14:val="tx1"/>
            </w14:solidFill>
          </w14:textFill>
        </w:rPr>
      </w:pPr>
    </w:p>
    <w:p w14:paraId="7AC8EC8C">
      <w:pPr>
        <w:spacing w:before="317" w:beforeLines="100" w:after="158" w:afterLines="50" w:line="400" w:lineRule="exact"/>
        <w:jc w:val="center"/>
        <w:rPr>
          <w:rFonts w:ascii="黑体" w:hAnsi="宋体" w:eastAsia="黑体"/>
          <w:b/>
          <w:color w:val="000000" w:themeColor="text1"/>
          <w:kern w:val="0"/>
          <w:sz w:val="28"/>
          <w:szCs w:val="28"/>
          <w:highlight w:val="none"/>
          <w14:textFill>
            <w14:solidFill>
              <w14:schemeClr w14:val="tx1"/>
            </w14:solidFill>
          </w14:textFill>
        </w:rPr>
      </w:pPr>
      <w:r>
        <w:rPr>
          <w:rFonts w:hint="eastAsia" w:ascii="黑体" w:hAnsi="宋体" w:eastAsia="黑体"/>
          <w:b/>
          <w:color w:val="000000" w:themeColor="text1"/>
          <w:kern w:val="0"/>
          <w:sz w:val="28"/>
          <w:szCs w:val="28"/>
          <w:highlight w:val="none"/>
          <w14:textFill>
            <w14:solidFill>
              <w14:schemeClr w14:val="tx1"/>
            </w14:solidFill>
          </w14:textFill>
        </w:rPr>
        <w:t>法定代表人（单位负责人）授权委托书</w:t>
      </w:r>
    </w:p>
    <w:p w14:paraId="6F9E7FF2">
      <w:pPr>
        <w:autoSpaceDE w:val="0"/>
        <w:autoSpaceDN w:val="0"/>
        <w:adjustRightInd w:val="0"/>
        <w:snapToGrid w:val="0"/>
        <w:rPr>
          <w:rFonts w:ascii="宋体"/>
          <w:bCs/>
          <w:color w:val="000000" w:themeColor="text1"/>
          <w:szCs w:val="21"/>
          <w:highlight w:val="none"/>
          <w14:textFill>
            <w14:solidFill>
              <w14:schemeClr w14:val="tx1"/>
            </w14:solidFill>
          </w14:textFill>
        </w:rPr>
      </w:pPr>
    </w:p>
    <w:p w14:paraId="58D0152A">
      <w:pPr>
        <w:autoSpaceDE w:val="0"/>
        <w:autoSpaceDN w:val="0"/>
        <w:adjustRightInd w:val="0"/>
        <w:snapToGrid w:val="0"/>
        <w:spacing w:line="400" w:lineRule="exact"/>
        <w:ind w:firstLine="48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致：</w:t>
      </w:r>
      <w:r>
        <w:rPr>
          <w:rFonts w:hint="eastAsia" w:ascii="宋体" w:hAnsi="宋体" w:cs="宋体"/>
          <w:bCs/>
          <w:color w:val="000000" w:themeColor="text1"/>
          <w:szCs w:val="21"/>
          <w:highlight w:val="none"/>
          <w:u w:val="single"/>
          <w14:textFill>
            <w14:solidFill>
              <w14:schemeClr w14:val="tx1"/>
            </w14:solidFill>
          </w14:textFill>
        </w:rPr>
        <w:t>（采购人）</w:t>
      </w:r>
    </w:p>
    <w:p w14:paraId="47619233">
      <w:pPr>
        <w:pStyle w:val="26"/>
        <w:adjustRightInd w:val="0"/>
        <w:snapToGrid w:val="0"/>
        <w:spacing w:line="4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_____________（应答人名称），中华人民共和国合法企业，法定地址：。</w:t>
      </w:r>
    </w:p>
    <w:p w14:paraId="7DD31384">
      <w:pPr>
        <w:adjustRightInd w:val="0"/>
        <w:snapToGrid w:val="0"/>
        <w:spacing w:line="400" w:lineRule="exact"/>
        <w:ind w:firstLine="48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_____________（营业执照法定代表人（单位负责人））特授权________代表我方全权办理____________（项目名称）项目的应答、谈判、签约、执行等具体工作，并签署全部有关的文件、协议及合同。</w:t>
      </w:r>
    </w:p>
    <w:p w14:paraId="77EC3539">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我方对被授权人签署的所有文件、协议及合同负全部责任。</w:t>
      </w:r>
    </w:p>
    <w:p w14:paraId="4217D526">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在采购人或采购代理机构收到撤销本授权的通知以前，本授权书一直有效。被授权人签署的所有文件、协议和合同（在本授权书有效期内签署的）不因授权的撤销而失效。</w:t>
      </w:r>
    </w:p>
    <w:p w14:paraId="184312C3">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被授权人不得转授权。</w:t>
      </w:r>
    </w:p>
    <w:p w14:paraId="0EE24E23">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p>
    <w:p w14:paraId="3B0E9289">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p>
    <w:p w14:paraId="20C4D007">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p>
    <w:p w14:paraId="5930FEC3">
      <w:pPr>
        <w:adjustRightInd w:val="0"/>
        <w:snapToGrid w:val="0"/>
        <w:spacing w:line="400" w:lineRule="exact"/>
        <w:ind w:firstLine="480" w:firstLineChars="200"/>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授权人（法定代表人（单位负责人））签名（章）：_________</w:t>
      </w:r>
    </w:p>
    <w:p w14:paraId="5F0D805E">
      <w:pPr>
        <w:adjustRightInd w:val="0"/>
        <w:snapToGrid w:val="0"/>
        <w:spacing w:line="400" w:lineRule="exact"/>
        <w:ind w:firstLine="480" w:firstLineChars="200"/>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职务：________</w:t>
      </w:r>
    </w:p>
    <w:p w14:paraId="6F29EE46">
      <w:pPr>
        <w:adjustRightInd w:val="0"/>
        <w:snapToGrid w:val="0"/>
        <w:spacing w:line="400" w:lineRule="exact"/>
        <w:ind w:firstLine="480" w:firstLineChars="200"/>
        <w:jc w:val="right"/>
        <w:rPr>
          <w:rFonts w:hint="eastAsia" w:ascii="宋体" w:hAnsi="宋体" w:cs="宋体"/>
          <w:color w:val="000000" w:themeColor="text1"/>
          <w:highlight w:val="none"/>
          <w14:textFill>
            <w14:solidFill>
              <w14:schemeClr w14:val="tx1"/>
            </w14:solidFill>
          </w14:textFill>
        </w:rPr>
      </w:pPr>
    </w:p>
    <w:p w14:paraId="32DD2869">
      <w:pPr>
        <w:adjustRightInd w:val="0"/>
        <w:snapToGrid w:val="0"/>
        <w:spacing w:line="400" w:lineRule="exact"/>
        <w:ind w:firstLine="480" w:firstLineChars="200"/>
        <w:jc w:val="right"/>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应答人：盖章（单位公章）</w:t>
      </w:r>
    </w:p>
    <w:p w14:paraId="0D1466BF">
      <w:pPr>
        <w:adjustRightInd w:val="0"/>
        <w:snapToGrid w:val="0"/>
        <w:spacing w:line="400" w:lineRule="exact"/>
        <w:ind w:firstLine="480" w:firstLineChars="20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XX 年 XX 月XX 日</w:t>
      </w:r>
    </w:p>
    <w:p w14:paraId="755095FB">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注：1.法定代表人（单位负责人）授权委托书必须法定代表人（单位负责人）签名</w:t>
      </w:r>
      <w:r>
        <w:rPr>
          <w:rFonts w:hint="eastAsia" w:ascii="宋体" w:hAnsi="宋体" w:cs="宋体"/>
          <w:color w:val="000000" w:themeColor="text1"/>
          <w:highlight w:val="none"/>
          <w14:textFill>
            <w14:solidFill>
              <w14:schemeClr w14:val="tx1"/>
            </w14:solidFill>
          </w14:textFill>
        </w:rPr>
        <w:t>（章）</w:t>
      </w:r>
      <w:r>
        <w:rPr>
          <w:rFonts w:hint="eastAsia" w:ascii="宋体" w:hAnsi="宋体" w:cs="宋体"/>
          <w:color w:val="000000" w:themeColor="text1"/>
          <w:szCs w:val="21"/>
          <w:highlight w:val="none"/>
          <w14:textFill>
            <w14:solidFill>
              <w14:schemeClr w14:val="tx1"/>
            </w14:solidFill>
          </w14:textFill>
        </w:rPr>
        <w:t>且加盖公司公章，不得以任何其他印章代替。</w:t>
      </w:r>
    </w:p>
    <w:p w14:paraId="522F9C37">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2.若被授权人有两名或两名以上，如未特别声明，则任一被授权人签署的有关文件、协议、合同或处理的相关事务均应视为有效。</w:t>
      </w:r>
    </w:p>
    <w:p w14:paraId="5E5688C0">
      <w:pPr>
        <w:adjustRightInd w:val="0"/>
        <w:snapToGrid w:val="0"/>
        <w:spacing w:line="400" w:lineRule="exact"/>
        <w:ind w:firstLine="480" w:firstLineChars="200"/>
        <w:rPr>
          <w:rFonts w:hint="eastAsia" w:ascii="宋体" w:hAnsi="宋体" w:cs="宋体"/>
          <w:color w:val="000000" w:themeColor="text1"/>
          <w:szCs w:val="21"/>
          <w:highlight w:val="none"/>
          <w14:textFill>
            <w14:solidFill>
              <w14:schemeClr w14:val="tx1"/>
            </w14:solidFill>
          </w14:textFill>
        </w:rPr>
        <w:sectPr>
          <w:pgSz w:w="11905" w:h="16838"/>
          <w:pgMar w:top="1134" w:right="1803" w:bottom="1134" w:left="1803" w:header="850" w:footer="992" w:gutter="0"/>
          <w:pgBorders>
            <w:top w:val="none" w:sz="0" w:space="0"/>
            <w:left w:val="none" w:sz="0" w:space="0"/>
            <w:bottom w:val="none" w:sz="0" w:space="0"/>
            <w:right w:val="none" w:sz="0" w:space="0"/>
          </w:pgBorders>
          <w:cols w:space="0" w:num="1"/>
          <w:docGrid w:type="lines" w:linePitch="317" w:charSpace="0"/>
        </w:sect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提交的同时附</w:t>
      </w:r>
      <w:r>
        <w:rPr>
          <w:rFonts w:hint="eastAsia" w:ascii="宋体" w:hAnsi="宋体" w:cs="宋体"/>
          <w:color w:val="000000" w:themeColor="text1"/>
          <w:highlight w:val="none"/>
          <w14:textFill>
            <w14:solidFill>
              <w14:schemeClr w14:val="tx1"/>
            </w14:solidFill>
          </w14:textFill>
        </w:rPr>
        <w:t>法定代表人（单位负责人）身份</w:t>
      </w:r>
      <w:r>
        <w:rPr>
          <w:rFonts w:ascii="宋体" w:hAnsi="宋体" w:cs="宋体"/>
          <w:color w:val="000000" w:themeColor="text1"/>
          <w:highlight w:val="none"/>
          <w14:textFill>
            <w14:solidFill>
              <w14:schemeClr w14:val="tx1"/>
            </w14:solidFill>
          </w14:textFill>
        </w:rPr>
        <w:t>证</w:t>
      </w:r>
      <w:r>
        <w:rPr>
          <w:rFonts w:hint="eastAsia" w:ascii="宋体" w:hAnsi="宋体" w:cs="宋体"/>
          <w:color w:val="000000" w:themeColor="text1"/>
          <w:highlight w:val="none"/>
          <w14:textFill>
            <w14:solidFill>
              <w14:schemeClr w14:val="tx1"/>
            </w14:solidFill>
          </w14:textFill>
        </w:rPr>
        <w:t>（扫描件）</w:t>
      </w:r>
      <w:r>
        <w:rPr>
          <w:rFonts w:ascii="宋体" w:hAnsi="宋体" w:cs="宋体"/>
          <w:color w:val="000000" w:themeColor="text1"/>
          <w:highlight w:val="none"/>
          <w14:textFill>
            <w14:solidFill>
              <w14:schemeClr w14:val="tx1"/>
            </w14:solidFill>
          </w14:textFill>
        </w:rPr>
        <w:t>、被授权人身份证等有效身份证件</w:t>
      </w:r>
      <w:r>
        <w:rPr>
          <w:rFonts w:hint="eastAsia" w:ascii="宋体" w:hAnsi="宋体" w:cs="宋体"/>
          <w:color w:val="000000" w:themeColor="text1"/>
          <w:highlight w:val="none"/>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424CC574">
      <w:pPr>
        <w:snapToGrid w:val="0"/>
        <w:spacing w:line="400" w:lineRule="exact"/>
        <w:outlineLvl w:val="2"/>
        <w:rPr>
          <w:rFonts w:ascii="黑体" w:eastAsia="黑体"/>
          <w:b/>
          <w:color w:val="auto"/>
          <w:sz w:val="24"/>
          <w:szCs w:val="24"/>
          <w:highlight w:val="none"/>
        </w:rPr>
      </w:pPr>
      <w:r>
        <w:rPr>
          <w:rFonts w:hint="eastAsia" w:ascii="黑体" w:eastAsia="黑体"/>
          <w:b/>
          <w:color w:val="000000" w:themeColor="text1"/>
          <w:sz w:val="24"/>
          <w:szCs w:val="24"/>
          <w:highlight w:val="none"/>
          <w14:textFill>
            <w14:solidFill>
              <w14:schemeClr w14:val="tx1"/>
            </w14:solidFill>
          </w14:textFill>
        </w:rPr>
        <w:t>（二）商务偏差表</w:t>
      </w:r>
      <w:bookmarkEnd w:id="111"/>
    </w:p>
    <w:p w14:paraId="7F96B3BE">
      <w:pPr>
        <w:adjustRightInd w:val="0"/>
        <w:spacing w:line="400" w:lineRule="exact"/>
        <w:outlineLvl w:val="3"/>
        <w:rPr>
          <w:rFonts w:ascii="黑体" w:eastAsia="黑体"/>
          <w:b/>
          <w:color w:val="auto"/>
          <w:sz w:val="24"/>
          <w:szCs w:val="24"/>
          <w:highlight w:val="none"/>
        </w:rPr>
      </w:pPr>
      <w:bookmarkStart w:id="112" w:name="_Toc17262"/>
      <w:bookmarkStart w:id="113" w:name="_Toc10214"/>
      <w:r>
        <w:rPr>
          <w:rFonts w:hint="eastAsia" w:ascii="黑体" w:eastAsia="黑体"/>
          <w:b/>
          <w:color w:val="auto"/>
          <w:sz w:val="24"/>
          <w:szCs w:val="24"/>
          <w:highlight w:val="none"/>
        </w:rPr>
        <w:t>1.商务偏差表</w:t>
      </w:r>
      <w:bookmarkEnd w:id="112"/>
      <w:bookmarkEnd w:id="113"/>
    </w:p>
    <w:p w14:paraId="45CC3651">
      <w:pPr>
        <w:spacing w:before="317" w:beforeLines="100" w:after="158" w:afterLines="50" w:line="400" w:lineRule="exact"/>
        <w:jc w:val="center"/>
        <w:rPr>
          <w:rFonts w:ascii="黑体" w:hAnsi="宋体" w:eastAsia="黑体"/>
          <w:b/>
          <w:color w:val="000000" w:themeColor="text1"/>
          <w:kern w:val="0"/>
          <w:sz w:val="28"/>
          <w:szCs w:val="28"/>
          <w:highlight w:val="none"/>
          <w14:textFill>
            <w14:solidFill>
              <w14:schemeClr w14:val="tx1"/>
            </w14:solidFill>
          </w14:textFill>
        </w:rPr>
      </w:pPr>
      <w:bookmarkStart w:id="114" w:name="_Toc11558"/>
      <w:bookmarkStart w:id="115" w:name="_Toc26654"/>
      <w:r>
        <w:rPr>
          <w:rFonts w:hint="eastAsia" w:ascii="黑体" w:hAnsi="宋体" w:eastAsia="黑体"/>
          <w:b/>
          <w:color w:val="000000" w:themeColor="text1"/>
          <w:kern w:val="0"/>
          <w:sz w:val="28"/>
          <w:szCs w:val="28"/>
          <w:highlight w:val="none"/>
          <w14:textFill>
            <w14:solidFill>
              <w14:schemeClr w14:val="tx1"/>
            </w14:solidFill>
          </w14:textFill>
        </w:rPr>
        <w:t>商务偏差表</w:t>
      </w:r>
      <w:bookmarkEnd w:id="114"/>
      <w:bookmarkEnd w:id="115"/>
    </w:p>
    <w:p w14:paraId="38510E3E">
      <w:pPr>
        <w:adjustRightInd w:val="0"/>
        <w:snapToGrid w:val="0"/>
        <w:spacing w:line="360" w:lineRule="auto"/>
        <w:rPr>
          <w:rFonts w:ascii="黑体" w:eastAsia="黑体"/>
          <w:color w:val="000000" w:themeColor="text1"/>
          <w:sz w:val="24"/>
          <w:highlight w:val="none"/>
          <w14:textFill>
            <w14:solidFill>
              <w14:schemeClr w14:val="tx1"/>
            </w14:solidFill>
          </w14:textFill>
        </w:rPr>
      </w:pPr>
    </w:p>
    <w:p w14:paraId="27ADA3EE">
      <w:pPr>
        <w:autoSpaceDE w:val="0"/>
        <w:autoSpaceDN w:val="0"/>
        <w:adjustRightInd w:val="0"/>
        <w:snapToGrid w:val="0"/>
        <w:spacing w:line="360" w:lineRule="auto"/>
        <w:ind w:firstLine="360" w:firstLineChars="150"/>
        <w:jc w:val="left"/>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bl>
      <w:tblPr>
        <w:tblStyle w:val="16"/>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79"/>
        <w:gridCol w:w="2067"/>
        <w:gridCol w:w="2357"/>
        <w:gridCol w:w="1704"/>
      </w:tblGrid>
      <w:tr w14:paraId="75FC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top w:val="double" w:color="auto" w:sz="4" w:space="0"/>
              <w:left w:val="nil"/>
            </w:tcBorders>
          </w:tcPr>
          <w:p w14:paraId="43E650A4">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1679" w:type="dxa"/>
            <w:tcBorders>
              <w:top w:val="double" w:color="auto" w:sz="4" w:space="0"/>
            </w:tcBorders>
            <w:vAlign w:val="center"/>
          </w:tcPr>
          <w:p w14:paraId="444355F3">
            <w:pPr>
              <w:autoSpaceDE w:val="0"/>
              <w:autoSpaceDN w:val="0"/>
              <w:adjustRightInd w:val="0"/>
              <w:snapToGrid w:val="0"/>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采购文件条目号</w:t>
            </w:r>
          </w:p>
        </w:tc>
        <w:tc>
          <w:tcPr>
            <w:tcW w:w="2067" w:type="dxa"/>
            <w:tcBorders>
              <w:top w:val="double" w:color="auto" w:sz="4" w:space="0"/>
            </w:tcBorders>
            <w:vAlign w:val="center"/>
          </w:tcPr>
          <w:p w14:paraId="6830EC71">
            <w:pPr>
              <w:autoSpaceDE w:val="0"/>
              <w:autoSpaceDN w:val="0"/>
              <w:adjustRightInd w:val="0"/>
              <w:snapToGrid w:val="0"/>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采购文件条款</w:t>
            </w:r>
          </w:p>
        </w:tc>
        <w:tc>
          <w:tcPr>
            <w:tcW w:w="2357" w:type="dxa"/>
            <w:tcBorders>
              <w:top w:val="double" w:color="auto" w:sz="4" w:space="0"/>
            </w:tcBorders>
            <w:vAlign w:val="center"/>
          </w:tcPr>
          <w:p w14:paraId="7756E108">
            <w:pPr>
              <w:autoSpaceDE w:val="0"/>
              <w:autoSpaceDN w:val="0"/>
              <w:adjustRightInd w:val="0"/>
              <w:snapToGrid w:val="0"/>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应答文件条款</w:t>
            </w:r>
          </w:p>
        </w:tc>
        <w:tc>
          <w:tcPr>
            <w:tcW w:w="1704" w:type="dxa"/>
            <w:tcBorders>
              <w:top w:val="double" w:color="auto" w:sz="4" w:space="0"/>
              <w:right w:val="nil"/>
            </w:tcBorders>
            <w:vAlign w:val="center"/>
          </w:tcPr>
          <w:p w14:paraId="2FB0782F">
            <w:pPr>
              <w:autoSpaceDE w:val="0"/>
              <w:autoSpaceDN w:val="0"/>
              <w:adjustRightInd w:val="0"/>
              <w:snapToGrid w:val="0"/>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偏差说明</w:t>
            </w:r>
          </w:p>
        </w:tc>
      </w:tr>
      <w:tr w14:paraId="120D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tcBorders>
          </w:tcPr>
          <w:p w14:paraId="068C3C2B">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Pr>
          <w:p w14:paraId="4914BC2D">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Pr>
          <w:p w14:paraId="35A0DAB0">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Pr>
          <w:p w14:paraId="4A9820F0">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right w:val="nil"/>
            </w:tcBorders>
          </w:tcPr>
          <w:p w14:paraId="502A170E">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6EDB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tcBorders>
          </w:tcPr>
          <w:p w14:paraId="46505B09">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Pr>
          <w:p w14:paraId="1326719B">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Pr>
          <w:p w14:paraId="0EF5867B">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Pr>
          <w:p w14:paraId="5E275B95">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right w:val="nil"/>
            </w:tcBorders>
          </w:tcPr>
          <w:p w14:paraId="2FDE1BFD">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6606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tcBorders>
          </w:tcPr>
          <w:p w14:paraId="3C303DAA">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Pr>
          <w:p w14:paraId="29486495">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Pr>
          <w:p w14:paraId="63529B35">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Pr>
          <w:p w14:paraId="4AC72407">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right w:val="nil"/>
            </w:tcBorders>
          </w:tcPr>
          <w:p w14:paraId="6C6A0F58">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0F71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tcBorders>
          </w:tcPr>
          <w:p w14:paraId="3DB4103B">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Pr>
          <w:p w14:paraId="7DC828CF">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Pr>
          <w:p w14:paraId="769125B1">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Pr>
          <w:p w14:paraId="1D3D8369">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right w:val="nil"/>
            </w:tcBorders>
          </w:tcPr>
          <w:p w14:paraId="6D3C89A4">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1E5B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tcBorders>
          </w:tcPr>
          <w:p w14:paraId="0E440DFC">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Pr>
          <w:p w14:paraId="3BFB26C3">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Pr>
          <w:p w14:paraId="46B9E868">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Pr>
          <w:p w14:paraId="54AED749">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right w:val="nil"/>
            </w:tcBorders>
          </w:tcPr>
          <w:p w14:paraId="4D09F81A">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1AEE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tcBorders>
          </w:tcPr>
          <w:p w14:paraId="3D38B094">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Pr>
          <w:p w14:paraId="29106AA2">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Pr>
          <w:p w14:paraId="238DDB6E">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Pr>
          <w:p w14:paraId="523A439A">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right w:val="nil"/>
            </w:tcBorders>
          </w:tcPr>
          <w:p w14:paraId="77664A5D">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51A4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tcBorders>
          </w:tcPr>
          <w:p w14:paraId="1228D2FA">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Pr>
          <w:p w14:paraId="74967061">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Pr>
          <w:p w14:paraId="38DEE17E">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Pr>
          <w:p w14:paraId="7C85928F">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right w:val="nil"/>
            </w:tcBorders>
          </w:tcPr>
          <w:p w14:paraId="3E7F6C7F">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1CB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5" w:type="dxa"/>
            <w:tcBorders>
              <w:left w:val="nil"/>
              <w:bottom w:val="single" w:color="auto" w:sz="4" w:space="0"/>
            </w:tcBorders>
          </w:tcPr>
          <w:p w14:paraId="7D3103A7">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679" w:type="dxa"/>
            <w:tcBorders>
              <w:bottom w:val="single" w:color="auto" w:sz="4" w:space="0"/>
            </w:tcBorders>
          </w:tcPr>
          <w:p w14:paraId="6B5B70D4">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067" w:type="dxa"/>
            <w:tcBorders>
              <w:bottom w:val="single" w:color="auto" w:sz="4" w:space="0"/>
            </w:tcBorders>
          </w:tcPr>
          <w:p w14:paraId="34270300">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2357" w:type="dxa"/>
            <w:tcBorders>
              <w:bottom w:val="single" w:color="auto" w:sz="4" w:space="0"/>
            </w:tcBorders>
          </w:tcPr>
          <w:p w14:paraId="64F060DB">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c>
          <w:tcPr>
            <w:tcW w:w="1704" w:type="dxa"/>
            <w:tcBorders>
              <w:bottom w:val="single" w:color="auto" w:sz="4" w:space="0"/>
              <w:right w:val="nil"/>
            </w:tcBorders>
          </w:tcPr>
          <w:p w14:paraId="4915A27C">
            <w:pPr>
              <w:autoSpaceDE w:val="0"/>
              <w:autoSpaceDN w:val="0"/>
              <w:adjustRightInd w:val="0"/>
              <w:snapToGrid w:val="0"/>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14:paraId="4411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5"/>
            <w:tcBorders>
              <w:top w:val="double" w:color="auto" w:sz="4" w:space="0"/>
              <w:left w:val="nil"/>
              <w:bottom w:val="double" w:color="auto" w:sz="4" w:space="0"/>
              <w:right w:val="nil"/>
            </w:tcBorders>
          </w:tcPr>
          <w:p w14:paraId="2E78F805">
            <w:pPr>
              <w:autoSpaceDE w:val="0"/>
              <w:autoSpaceDN w:val="0"/>
              <w:adjustRightInd w:val="0"/>
              <w:snapToGrid w:val="0"/>
              <w:spacing w:line="240" w:lineRule="atLeas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应答人声明</w:t>
            </w:r>
            <w:r>
              <w:rPr>
                <w:rFonts w:hint="eastAsia" w:ascii="宋体" w:hAnsi="宋体" w:eastAsia="宋体" w:cs="宋体"/>
                <w:bCs/>
                <w:color w:val="000000" w:themeColor="text1"/>
                <w:szCs w:val="21"/>
                <w:highlight w:val="none"/>
                <w14:textFill>
                  <w14:solidFill>
                    <w14:schemeClr w14:val="tx1"/>
                  </w14:solidFill>
                </w14:textFill>
              </w:rPr>
              <w:t>：针对本采购标的，除本表已列明偏差外，我们接受采购文件规定的其余全部商务条件，并承诺按照采购文件规定的商务条件提供对应产品和服务。</w:t>
            </w:r>
          </w:p>
        </w:tc>
      </w:tr>
    </w:tbl>
    <w:p w14:paraId="105881B3">
      <w:pPr>
        <w:rPr>
          <w:rFonts w:ascii="黑体" w:hAnsi="Arial" w:eastAsia="黑体"/>
          <w:b/>
          <w:color w:val="000000" w:themeColor="text1"/>
          <w:sz w:val="28"/>
          <w:szCs w:val="28"/>
          <w:highlight w:val="none"/>
          <w14:textFill>
            <w14:solidFill>
              <w14:schemeClr w14:val="tx1"/>
            </w14:solidFill>
          </w14:textFill>
        </w:rPr>
      </w:pPr>
    </w:p>
    <w:p w14:paraId="2432AFB1">
      <w:pPr>
        <w:rPr>
          <w:rFonts w:ascii="黑体" w:hAnsi="Arial" w:eastAsia="黑体"/>
          <w:b/>
          <w:color w:val="000000" w:themeColor="text1"/>
          <w:sz w:val="28"/>
          <w:szCs w:val="28"/>
          <w:highlight w:val="none"/>
          <w14:textFill>
            <w14:solidFill>
              <w14:schemeClr w14:val="tx1"/>
            </w14:solidFill>
          </w14:textFill>
        </w:rPr>
      </w:pPr>
    </w:p>
    <w:p w14:paraId="10CFC5CA">
      <w:pPr>
        <w:rPr>
          <w:rFonts w:ascii="黑体" w:hAnsi="Arial" w:eastAsia="黑体"/>
          <w:b/>
          <w:color w:val="000000" w:themeColor="text1"/>
          <w:sz w:val="28"/>
          <w:szCs w:val="28"/>
          <w:highlight w:val="none"/>
          <w14:textFill>
            <w14:solidFill>
              <w14:schemeClr w14:val="tx1"/>
            </w14:solidFill>
          </w14:textFill>
        </w:rPr>
      </w:pPr>
    </w:p>
    <w:p w14:paraId="24F244AE">
      <w:pPr>
        <w:rPr>
          <w:rFonts w:ascii="黑体" w:hAnsi="Arial" w:eastAsia="黑体"/>
          <w:b/>
          <w:color w:val="000000" w:themeColor="text1"/>
          <w:sz w:val="28"/>
          <w:szCs w:val="28"/>
          <w:highlight w:val="none"/>
          <w14:textFill>
            <w14:solidFill>
              <w14:schemeClr w14:val="tx1"/>
            </w14:solidFill>
          </w14:textFill>
        </w:rPr>
      </w:pPr>
    </w:p>
    <w:p w14:paraId="0A841070">
      <w:pPr>
        <w:rPr>
          <w:rFonts w:ascii="黑体" w:hAnsi="Arial" w:eastAsia="黑体"/>
          <w:b/>
          <w:color w:val="000000" w:themeColor="text1"/>
          <w:sz w:val="28"/>
          <w:szCs w:val="28"/>
          <w:highlight w:val="none"/>
          <w14:textFill>
            <w14:solidFill>
              <w14:schemeClr w14:val="tx1"/>
            </w14:solidFill>
          </w14:textFill>
        </w:rPr>
      </w:pPr>
    </w:p>
    <w:p w14:paraId="293BB2E1">
      <w:pPr>
        <w:rPr>
          <w:rFonts w:ascii="黑体" w:hAnsi="Arial" w:eastAsia="黑体"/>
          <w:b/>
          <w:color w:val="000000" w:themeColor="text1"/>
          <w:sz w:val="28"/>
          <w:szCs w:val="28"/>
          <w:highlight w:val="none"/>
          <w14:textFill>
            <w14:solidFill>
              <w14:schemeClr w14:val="tx1"/>
            </w14:solidFill>
          </w14:textFill>
        </w:rPr>
      </w:pPr>
    </w:p>
    <w:p w14:paraId="20457A97">
      <w:pPr>
        <w:rPr>
          <w:rFonts w:ascii="黑体" w:hAnsi="Arial" w:eastAsia="黑体"/>
          <w:b/>
          <w:color w:val="000000" w:themeColor="text1"/>
          <w:sz w:val="28"/>
          <w:szCs w:val="28"/>
          <w:highlight w:val="none"/>
          <w14:textFill>
            <w14:solidFill>
              <w14:schemeClr w14:val="tx1"/>
            </w14:solidFill>
          </w14:textFill>
        </w:rPr>
      </w:pPr>
    </w:p>
    <w:p w14:paraId="1F5C8C11">
      <w:pPr>
        <w:rPr>
          <w:rFonts w:ascii="黑体" w:hAnsi="Arial" w:eastAsia="黑体"/>
          <w:b/>
          <w:color w:val="000000" w:themeColor="text1"/>
          <w:sz w:val="28"/>
          <w:szCs w:val="28"/>
          <w:highlight w:val="none"/>
          <w14:textFill>
            <w14:solidFill>
              <w14:schemeClr w14:val="tx1"/>
            </w14:solidFill>
          </w14:textFill>
        </w:rPr>
      </w:pPr>
    </w:p>
    <w:p w14:paraId="514B87E4">
      <w:pPr>
        <w:rPr>
          <w:rFonts w:ascii="黑体" w:hAnsi="Arial" w:eastAsia="黑体"/>
          <w:b/>
          <w:color w:val="000000" w:themeColor="text1"/>
          <w:sz w:val="28"/>
          <w:szCs w:val="28"/>
          <w:highlight w:val="none"/>
          <w14:textFill>
            <w14:solidFill>
              <w14:schemeClr w14:val="tx1"/>
            </w14:solidFill>
          </w14:textFill>
        </w:rPr>
      </w:pPr>
    </w:p>
    <w:p w14:paraId="143DAB81">
      <w:pPr>
        <w:rPr>
          <w:rFonts w:ascii="黑体" w:hAnsi="Arial" w:eastAsia="黑体"/>
          <w:b/>
          <w:color w:val="000000" w:themeColor="text1"/>
          <w:sz w:val="28"/>
          <w:szCs w:val="28"/>
          <w:highlight w:val="none"/>
          <w14:textFill>
            <w14:solidFill>
              <w14:schemeClr w14:val="tx1"/>
            </w14:solidFill>
          </w14:textFill>
        </w:rPr>
      </w:pPr>
    </w:p>
    <w:p w14:paraId="645F8ECB">
      <w:pPr>
        <w:rPr>
          <w:rFonts w:ascii="黑体" w:hAnsi="Arial" w:eastAsia="黑体"/>
          <w:b/>
          <w:color w:val="000000" w:themeColor="text1"/>
          <w:sz w:val="28"/>
          <w:szCs w:val="28"/>
          <w:highlight w:val="none"/>
          <w14:textFill>
            <w14:solidFill>
              <w14:schemeClr w14:val="tx1"/>
            </w14:solidFill>
          </w14:textFill>
        </w:rPr>
      </w:pPr>
    </w:p>
    <w:p w14:paraId="1E56DC93">
      <w:pPr>
        <w:rPr>
          <w:rFonts w:ascii="黑体" w:hAnsi="Arial" w:eastAsia="黑体"/>
          <w:b/>
          <w:color w:val="000000" w:themeColor="text1"/>
          <w:sz w:val="28"/>
          <w:szCs w:val="28"/>
          <w:highlight w:val="none"/>
          <w14:textFill>
            <w14:solidFill>
              <w14:schemeClr w14:val="tx1"/>
            </w14:solidFill>
          </w14:textFill>
        </w:rPr>
      </w:pPr>
    </w:p>
    <w:p w14:paraId="54DCA9FF">
      <w:pPr>
        <w:snapToGrid w:val="0"/>
        <w:spacing w:line="400" w:lineRule="exact"/>
        <w:outlineLvl w:val="2"/>
        <w:rPr>
          <w:color w:val="000000" w:themeColor="text1"/>
          <w:szCs w:val="21"/>
          <w:highlight w:val="none"/>
          <w14:textFill>
            <w14:solidFill>
              <w14:schemeClr w14:val="tx1"/>
            </w14:solidFill>
          </w14:textFill>
        </w:rPr>
      </w:pPr>
      <w:bookmarkStart w:id="116" w:name="_Toc62566205"/>
      <w:r>
        <w:rPr>
          <w:rFonts w:hint="eastAsia" w:ascii="黑体" w:hAnsi="Arial" w:eastAsia="黑体"/>
          <w:b/>
          <w:color w:val="000000" w:themeColor="text1"/>
          <w:sz w:val="24"/>
          <w:szCs w:val="24"/>
          <w:highlight w:val="none"/>
          <w14:textFill>
            <w14:solidFill>
              <w14:schemeClr w14:val="tx1"/>
            </w14:solidFill>
          </w14:textFill>
        </w:rPr>
        <w:t>（三）应答保证保险（如有）</w:t>
      </w:r>
    </w:p>
    <w:p w14:paraId="302E2514">
      <w:pPr>
        <w:spacing w:line="400" w:lineRule="exact"/>
        <w:outlineLvl w:val="3"/>
        <w:rPr>
          <w:rFonts w:eastAsia="黑体"/>
          <w:b/>
          <w:color w:val="000000" w:themeColor="text1"/>
          <w:sz w:val="24"/>
          <w:szCs w:val="24"/>
          <w:highlight w:val="none"/>
          <w14:textFill>
            <w14:solidFill>
              <w14:schemeClr w14:val="tx1"/>
            </w14:solidFill>
          </w14:textFill>
        </w:rPr>
      </w:pPr>
      <w:r>
        <w:rPr>
          <w:rFonts w:eastAsia="黑体"/>
          <w:b/>
          <w:color w:val="000000" w:themeColor="text1"/>
          <w:sz w:val="24"/>
          <w:szCs w:val="24"/>
          <w:highlight w:val="none"/>
          <w14:textFill>
            <w14:solidFill>
              <w14:schemeClr w14:val="tx1"/>
            </w14:solidFill>
          </w14:textFill>
        </w:rPr>
        <w:t>1.</w:t>
      </w:r>
      <w:r>
        <w:rPr>
          <w:rFonts w:hint="eastAsia" w:eastAsia="黑体"/>
          <w:b/>
          <w:color w:val="000000" w:themeColor="text1"/>
          <w:sz w:val="24"/>
          <w:szCs w:val="24"/>
          <w:highlight w:val="none"/>
          <w14:textFill>
            <w14:solidFill>
              <w14:schemeClr w14:val="tx1"/>
            </w14:solidFill>
          </w14:textFill>
        </w:rPr>
        <w:t>应答保证保险格式（以应答保证保险的方式提交应答保证金的，提供应答保证保险电子保单或保单原件扫描件、保单查询途径。）</w:t>
      </w:r>
    </w:p>
    <w:p w14:paraId="6479C58F">
      <w:pPr>
        <w:jc w:val="center"/>
        <w:rPr>
          <w:rFonts w:ascii="黑体" w:eastAsia="黑体"/>
          <w:b/>
          <w:color w:val="000000" w:themeColor="text1"/>
          <w:sz w:val="28"/>
          <w:szCs w:val="28"/>
          <w:highlight w:val="none"/>
          <w14:textFill>
            <w14:solidFill>
              <w14:schemeClr w14:val="tx1"/>
            </w14:solidFill>
          </w14:textFill>
        </w:rPr>
      </w:pPr>
      <w:r>
        <w:rPr>
          <w:rFonts w:hint="eastAsia" w:ascii="黑体" w:eastAsia="黑体"/>
          <w:b/>
          <w:color w:val="000000" w:themeColor="text1"/>
          <w:sz w:val="28"/>
          <w:szCs w:val="28"/>
          <w:highlight w:val="none"/>
          <w14:textFill>
            <w14:solidFill>
              <w14:schemeClr w14:val="tx1"/>
            </w14:solidFill>
          </w14:textFill>
        </w:rPr>
        <w:t>应答保证保险（责任要求）</w:t>
      </w:r>
    </w:p>
    <w:p w14:paraId="69E4AF1F">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应答人自行选择保险公司投保，约定由保险公司承担所承保应答人应答违约行为的赔偿。应答人须将保单递交给采购人，保单须包含以下内容或约定：</w:t>
      </w:r>
    </w:p>
    <w:p w14:paraId="51D37CF6">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一、保险险种：应答保证保险</w:t>
      </w:r>
    </w:p>
    <w:p w14:paraId="7496D8EB">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二、被保险人：</w:t>
      </w:r>
      <w:r>
        <w:rPr>
          <w:rFonts w:hint="eastAsia" w:ascii="宋体" w:hAnsi="宋体" w:cs="宋体"/>
          <w:color w:val="000000" w:themeColor="text1"/>
          <w:szCs w:val="21"/>
          <w:highlight w:val="none"/>
          <w:u w:val="single"/>
          <w14:textFill>
            <w14:solidFill>
              <w14:schemeClr w14:val="tx1"/>
            </w14:solidFill>
          </w14:textFill>
        </w:rPr>
        <w:t>XX</w:t>
      </w:r>
    </w:p>
    <w:p w14:paraId="2D5A8A9D">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三、保险金额：应缴纳的应答保证金金额</w:t>
      </w:r>
    </w:p>
    <w:p w14:paraId="1B721296">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四、绝对免赔额：</w:t>
      </w:r>
      <w:r>
        <w:rPr>
          <w:rFonts w:ascii="宋体" w:hAnsi="宋体" w:cs="宋体"/>
          <w:color w:val="000000" w:themeColor="text1"/>
          <w:szCs w:val="21"/>
          <w:highlight w:val="none"/>
          <w14:textFill>
            <w14:solidFill>
              <w14:schemeClr w14:val="tx1"/>
            </w14:solidFill>
          </w14:textFill>
        </w:rPr>
        <w:t xml:space="preserve"> 0元</w:t>
      </w:r>
    </w:p>
    <w:p w14:paraId="4112E1DA">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五、保险期间：</w:t>
      </w:r>
    </w:p>
    <w:p w14:paraId="4F9C6BA0">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【说明】保险期间须满足采购文件要求的应答有效期要求。</w:t>
      </w:r>
    </w:p>
    <w:p w14:paraId="2196945E">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六、保单保费来源：保险</w:t>
      </w:r>
      <w:r>
        <w:rPr>
          <w:rFonts w:hint="eastAsia" w:ascii="宋体" w:hAnsi="宋体" w:cs="宋体"/>
          <w:color w:val="000000" w:themeColor="text1"/>
          <w:szCs w:val="21"/>
          <w:highlight w:val="none"/>
          <w14:textFill>
            <w14:solidFill>
              <w14:schemeClr w14:val="tx1"/>
            </w14:solidFill>
          </w14:textFill>
        </w:rPr>
        <w:t>公司</w:t>
      </w:r>
      <w:r>
        <w:rPr>
          <w:rFonts w:ascii="宋体" w:hAnsi="宋体" w:cs="宋体"/>
          <w:color w:val="000000" w:themeColor="text1"/>
          <w:sz w:val="24"/>
          <w:szCs w:val="24"/>
          <w:highlight w:val="none"/>
          <w14:textFill>
            <w14:solidFill>
              <w14:schemeClr w14:val="tx1"/>
            </w14:solidFill>
          </w14:textFill>
        </w:rPr>
        <w:t>必须核实保单保费是否从企业基本账户转出，请注明保单保费是否从应答人企业基本账户支付，未注明相关信息或注明保费未从应答人企业基本账户支付，视为提交的应答保证金无效。</w:t>
      </w:r>
    </w:p>
    <w:p w14:paraId="512AEF48">
      <w:pPr>
        <w:pStyle w:val="6"/>
        <w:spacing w:line="400" w:lineRule="exact"/>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（样例：本保单保费是从应答人企业基本账户支付。）</w:t>
      </w:r>
    </w:p>
    <w:p w14:paraId="42A5DA5F">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七、其他：保单上必须注明采购项目名称和采购编号。</w:t>
      </w:r>
    </w:p>
    <w:p w14:paraId="2E572562">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八、特别约定：</w:t>
      </w:r>
    </w:p>
    <w:p w14:paraId="7065A922">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（一）按照采购文件的规定，下列情形也属于本保单承保范围：</w:t>
      </w:r>
    </w:p>
    <w:p w14:paraId="5611F2F9">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1.投保人在应答截止时间后撤销其应答文件、或主动对应答文件提出实质性修改；</w:t>
      </w:r>
    </w:p>
    <w:p w14:paraId="7D6A47F7">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2.投保人接到成交通知后，拒绝按采购文件的规定和应答文件的承诺签订合同；</w:t>
      </w:r>
    </w:p>
    <w:p w14:paraId="760314D6">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3.投保人成交后不按照采购文件要求交纳履约保证金；</w:t>
      </w:r>
    </w:p>
    <w:p w14:paraId="23146CBD">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4.投保人与其他应答人相互串通应答、投保人有弄虚作假或其他应答违法行为的；</w:t>
      </w:r>
    </w:p>
    <w:p w14:paraId="453B4D59">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5.法律法规及采购文件规定的其他应当不予退还应答保证金情形的；</w:t>
      </w:r>
    </w:p>
    <w:p w14:paraId="70ACD1A0">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6.投保人未按采购文件约定及规定时限向被保险人支付采购代理服务费的。</w:t>
      </w:r>
    </w:p>
    <w:p w14:paraId="4D09D0B1">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（二）按年度投保应答保证保险的，提交应答文件的截止日期在保险期间内的属于保险人承保范围；提交应答文件的截止日期不在保险期限内的，不属于保险人承保范围。</w:t>
      </w:r>
    </w:p>
    <w:p w14:paraId="6B843782">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保险起保日前，投保人可自行办理批改或退保；保险起保日后，投保人须提交经被保险人书面盖章同意的证明材料后，保险公司方能办理批改或退保，如保险公司未按本条规定办理批改或退保的，保险公司承担由此带来的一切赔偿责任。</w:t>
      </w:r>
    </w:p>
    <w:p w14:paraId="46FCC2FA">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发生保险事故时，由被保险人向保险公司报案并提供索赔材料，保险公司应在一个月内、无条件的向被保险人支付赔款，赔款金额为出险标包的保险金额总额；当年发生的索赔案件，保险人须在本自然年度内赔付至被保险人并结案；若投保人未缴纳保费，保险公司不得以投保人未缴纳保费拒绝支付赔款。</w:t>
      </w:r>
    </w:p>
    <w:p w14:paraId="24BFA240">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（五）发生保险事故后，被保险人索赔时，仅需提供以下材料：</w:t>
      </w:r>
    </w:p>
    <w:p w14:paraId="35A0930B">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1.《保险单》；</w:t>
      </w:r>
    </w:p>
    <w:p w14:paraId="49534D86">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2.《索赔申请书》；</w:t>
      </w:r>
    </w:p>
    <w:p w14:paraId="35535C91">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3.采购文件（仅需提供与保险索赔相关的部分）；</w:t>
      </w:r>
    </w:p>
    <w:p w14:paraId="3FD175EF">
      <w:pPr>
        <w:spacing w:line="400" w:lineRule="exact"/>
        <w:ind w:firstLine="48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4.应答文件（仅需提供与保险索赔相关的部分）；</w:t>
      </w:r>
    </w:p>
    <w:p w14:paraId="3B462B74">
      <w:pPr>
        <w:spacing w:line="400" w:lineRule="exact"/>
        <w:ind w:firstLine="480" w:firstLineChars="200"/>
        <w:jc w:val="left"/>
        <w:rPr>
          <w:rFonts w:ascii="黑体" w:eastAsia="黑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5.被保险人出具的保险事故发生的证明文件。</w:t>
      </w:r>
    </w:p>
    <w:p w14:paraId="154B1D86">
      <w:pPr>
        <w:spacing w:line="400" w:lineRule="exact"/>
        <w:rPr>
          <w:rFonts w:ascii="黑体" w:eastAsia="黑体"/>
          <w:b/>
          <w:color w:val="000000" w:themeColor="text1"/>
          <w:sz w:val="24"/>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说明：以“应答保证保险”形式提交应答保证金的应答人，请在此处提供保单查询途径，未提供保单查询途径或提供途径应答人无法查询的，视为提交的应答保证金无效。</w:t>
      </w:r>
      <w:r>
        <w:rPr>
          <w:rFonts w:ascii="黑体" w:eastAsia="黑体"/>
          <w:b/>
          <w:color w:val="000000" w:themeColor="text1"/>
          <w:sz w:val="24"/>
          <w:szCs w:val="24"/>
          <w:highlight w:val="none"/>
          <w14:textFill>
            <w14:solidFill>
              <w14:schemeClr w14:val="tx1"/>
            </w14:solidFill>
          </w14:textFill>
        </w:rPr>
        <w:br w:type="page"/>
      </w:r>
    </w:p>
    <w:p w14:paraId="3392338C">
      <w:pPr>
        <w:adjustRightInd w:val="0"/>
        <w:snapToGrid w:val="0"/>
        <w:spacing w:line="400" w:lineRule="exact"/>
        <w:jc w:val="left"/>
        <w:outlineLvl w:val="2"/>
        <w:rPr>
          <w:rFonts w:ascii="黑体" w:eastAsia="黑体"/>
          <w:b/>
          <w:color w:val="000000" w:themeColor="text1"/>
          <w:sz w:val="24"/>
          <w:szCs w:val="24"/>
          <w:highlight w:val="none"/>
          <w14:textFill>
            <w14:solidFill>
              <w14:schemeClr w14:val="tx1"/>
            </w14:solidFill>
          </w14:textFill>
        </w:rPr>
      </w:pPr>
      <w:r>
        <w:rPr>
          <w:rFonts w:hint="eastAsia" w:ascii="黑体" w:eastAsia="黑体"/>
          <w:b/>
          <w:color w:val="000000" w:themeColor="text1"/>
          <w:sz w:val="24"/>
          <w:szCs w:val="24"/>
          <w:highlight w:val="none"/>
          <w14:textFill>
            <w14:solidFill>
              <w14:schemeClr w14:val="tx1"/>
            </w14:solidFill>
          </w14:textFill>
        </w:rPr>
        <w:t>（四）补充文件</w:t>
      </w:r>
      <w:bookmarkEnd w:id="116"/>
    </w:p>
    <w:p w14:paraId="11190A3E">
      <w:pPr>
        <w:adjustRightInd w:val="0"/>
        <w:snapToGrid w:val="0"/>
        <w:jc w:val="left"/>
        <w:outlineLvl w:val="3"/>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eastAsia="黑体"/>
          <w:b/>
          <w:color w:val="000000" w:themeColor="text1"/>
          <w:sz w:val="24"/>
          <w:szCs w:val="24"/>
          <w:highlight w:val="none"/>
          <w14:textFill>
            <w14:solidFill>
              <w14:schemeClr w14:val="tx1"/>
            </w14:solidFill>
          </w14:textFill>
        </w:rPr>
        <w:t>1.应答保证金</w:t>
      </w:r>
      <w:r>
        <w:rPr>
          <w:rFonts w:hint="eastAsia" w:ascii="黑体" w:hAnsi="黑体" w:eastAsia="黑体"/>
          <w:b/>
          <w:bCs/>
          <w:color w:val="000000" w:themeColor="text1"/>
          <w:sz w:val="24"/>
          <w:szCs w:val="24"/>
          <w:highlight w:val="none"/>
          <w14:textFill>
            <w14:solidFill>
              <w14:schemeClr w14:val="tx1"/>
            </w14:solidFill>
          </w14:textFill>
        </w:rPr>
        <w:t>（采购文件明确“无需递交应答保证金”的，无需提交</w:t>
      </w:r>
      <w:r>
        <w:rPr>
          <w:rFonts w:hint="eastAsia" w:ascii="黑体" w:hAnsi="黑体" w:eastAsia="黑体"/>
          <w:b/>
          <w:bCs/>
          <w:color w:val="000000" w:themeColor="text1"/>
          <w:sz w:val="24"/>
          <w:szCs w:val="24"/>
          <w:highlight w:val="none"/>
          <w:lang w:eastAsia="zh-CN"/>
          <w14:textFill>
            <w14:solidFill>
              <w14:schemeClr w14:val="tx1"/>
            </w14:solidFill>
          </w14:textFill>
        </w:rPr>
        <w:t>应答保证金</w:t>
      </w:r>
      <w:r>
        <w:rPr>
          <w:rFonts w:hint="eastAsia" w:ascii="黑体" w:hAnsi="黑体" w:eastAsia="黑体"/>
          <w:b/>
          <w:bCs/>
          <w:color w:val="000000" w:themeColor="text1"/>
          <w:sz w:val="24"/>
          <w:szCs w:val="24"/>
          <w:highlight w:val="none"/>
          <w14:textFill>
            <w14:solidFill>
              <w14:schemeClr w14:val="tx1"/>
            </w14:solidFill>
          </w14:textFill>
        </w:rPr>
        <w:t>文件）</w:t>
      </w:r>
    </w:p>
    <w:p w14:paraId="02377AF7">
      <w:pPr>
        <w:pStyle w:val="6"/>
        <w:rPr>
          <w:highlight w:val="none"/>
        </w:rPr>
      </w:pPr>
    </w:p>
    <w:p w14:paraId="301740D5">
      <w:pPr>
        <w:numPr>
          <w:ilvl w:val="1"/>
          <w:numId w:val="3"/>
        </w:numPr>
        <w:outlineLvl w:val="4"/>
        <w:rPr>
          <w:rFonts w:hint="eastAsia" w:ascii="黑体" w:eastAsia="黑体"/>
          <w:b/>
          <w:color w:val="000000" w:themeColor="text1"/>
          <w:sz w:val="24"/>
          <w:szCs w:val="24"/>
          <w:highlight w:val="none"/>
          <w14:textFill>
            <w14:solidFill>
              <w14:schemeClr w14:val="tx1"/>
            </w14:solidFill>
          </w14:textFill>
        </w:rPr>
      </w:pPr>
      <w:r>
        <w:rPr>
          <w:rFonts w:hint="eastAsia" w:ascii="黑体" w:eastAsia="黑体"/>
          <w:b/>
          <w:color w:val="000000" w:themeColor="text1"/>
          <w:sz w:val="24"/>
          <w:szCs w:val="24"/>
          <w:highlight w:val="none"/>
          <w14:textFill>
            <w14:solidFill>
              <w14:schemeClr w14:val="tx1"/>
            </w14:solidFill>
          </w14:textFill>
        </w:rPr>
        <w:t>汇款凭证</w:t>
      </w:r>
    </w:p>
    <w:p w14:paraId="331C3A81">
      <w:pPr>
        <w:adjustRightInd w:val="0"/>
        <w:snapToGrid w:val="0"/>
        <w:spacing w:after="0" w:line="400" w:lineRule="exact"/>
        <w:rPr>
          <w:rFonts w:hint="eastAsia" w:ascii="黑体" w:eastAsia="黑体"/>
          <w:b/>
          <w:bCs/>
          <w:color w:val="000000" w:themeColor="text1"/>
          <w:sz w:val="24"/>
          <w:szCs w:val="24"/>
          <w:highlight w:val="none"/>
          <w:lang w:eastAsia="zh-CN"/>
          <w14:textFill>
            <w14:solidFill>
              <w14:schemeClr w14:val="tx1"/>
            </w14:solidFill>
          </w14:textFill>
        </w:rPr>
      </w:pPr>
      <w:r>
        <w:rPr>
          <w:rFonts w:hint="eastAsia" w:ascii="黑体" w:eastAsia="黑体"/>
          <w:b/>
          <w:bCs/>
          <w:color w:val="000000" w:themeColor="text1"/>
          <w:sz w:val="24"/>
          <w:szCs w:val="24"/>
          <w:highlight w:val="none"/>
          <w:lang w:eastAsia="zh-CN"/>
          <w14:textFill>
            <w14:solidFill>
              <w14:schemeClr w14:val="tx1"/>
            </w14:solidFill>
          </w14:textFill>
        </w:rPr>
        <w:t>（以银行汇款方式提交应答保证金的，须提供银行回单电子版扫描件，不接受纸质汇款凭证）</w:t>
      </w:r>
    </w:p>
    <w:p w14:paraId="7548894A">
      <w:pPr>
        <w:pStyle w:val="3"/>
        <w:jc w:val="both"/>
        <w:rPr>
          <w:rFonts w:hint="eastAsia" w:ascii="黑体" w:eastAsia="黑体" w:hAnsiTheme="majorHAnsi" w:cstheme="majorBidi"/>
          <w:b/>
          <w:bCs/>
          <w:color w:val="000000" w:themeColor="text1"/>
          <w:sz w:val="24"/>
          <w:szCs w:val="24"/>
          <w:highlight w:val="none"/>
          <w:lang w:val="en-US" w:eastAsia="zh-CN" w:bidi="en-US"/>
          <w14:textFill>
            <w14:solidFill>
              <w14:schemeClr w14:val="tx1"/>
            </w14:solidFill>
          </w14:textFill>
        </w:rPr>
      </w:pPr>
      <w:r>
        <w:rPr>
          <w:rFonts w:hint="eastAsia" w:ascii="黑体" w:eastAsia="黑体" w:cstheme="majorBidi"/>
          <w:b/>
          <w:bCs/>
          <w:color w:val="000000" w:themeColor="text1"/>
          <w:sz w:val="24"/>
          <w:szCs w:val="24"/>
          <w:highlight w:val="none"/>
          <w:lang w:val="en-US" w:eastAsia="zh-CN" w:bidi="en-US"/>
          <w14:textFill>
            <w14:solidFill>
              <w14:schemeClr w14:val="tx1"/>
            </w14:solidFill>
          </w14:textFill>
        </w:rPr>
        <w:t>（</w:t>
      </w:r>
      <w:r>
        <w:rPr>
          <w:rFonts w:hint="eastAsia" w:ascii="黑体" w:eastAsia="黑体" w:hAnsiTheme="majorHAnsi" w:cstheme="majorBidi"/>
          <w:b/>
          <w:bCs/>
          <w:color w:val="000000" w:themeColor="text1"/>
          <w:sz w:val="24"/>
          <w:szCs w:val="24"/>
          <w:highlight w:val="none"/>
          <w:lang w:val="en-US" w:eastAsia="zh-CN" w:bidi="en-US"/>
          <w14:textFill>
            <w14:solidFill>
              <w14:schemeClr w14:val="tx1"/>
            </w14:solidFill>
          </w14:textFill>
        </w:rPr>
        <w:t>应附企业基本账户开户许可证扫描件或由应答人基本账户开户银行通过账户管理系统打印的《基本存款账户信息》扫描件。</w:t>
      </w:r>
      <w:r>
        <w:rPr>
          <w:rFonts w:hint="eastAsia" w:ascii="黑体" w:eastAsia="黑体" w:cstheme="majorBidi"/>
          <w:b/>
          <w:bCs/>
          <w:color w:val="000000" w:themeColor="text1"/>
          <w:sz w:val="24"/>
          <w:szCs w:val="24"/>
          <w:highlight w:val="none"/>
          <w:lang w:val="en-US" w:eastAsia="zh-CN" w:bidi="en-US"/>
          <w14:textFill>
            <w14:solidFill>
              <w14:schemeClr w14:val="tx1"/>
            </w14:solidFill>
          </w14:textFill>
        </w:rPr>
        <w:t>）</w:t>
      </w:r>
    </w:p>
    <w:p w14:paraId="5BD002CD">
      <w:pPr>
        <w:jc w:val="left"/>
        <w:rPr>
          <w:rFonts w:ascii="黑体" w:eastAsia="黑体"/>
          <w:color w:val="000000" w:themeColor="text1"/>
          <w:sz w:val="24"/>
          <w:szCs w:val="24"/>
          <w:highlight w:val="none"/>
          <w14:textFill>
            <w14:solidFill>
              <w14:schemeClr w14:val="tx1"/>
            </w14:solidFill>
          </w14:textFill>
        </w:rPr>
      </w:pPr>
    </w:p>
    <w:p w14:paraId="46CC4330">
      <w:pPr>
        <w:jc w:val="left"/>
        <w:outlineLvl w:val="4"/>
        <w:rPr>
          <w:rFonts w:ascii="黑体" w:eastAsia="黑体"/>
          <w:color w:val="000000" w:themeColor="text1"/>
          <w:sz w:val="24"/>
          <w:szCs w:val="24"/>
          <w:highlight w:val="none"/>
          <w14:textFill>
            <w14:solidFill>
              <w14:schemeClr w14:val="tx1"/>
            </w14:solidFill>
          </w14:textFill>
        </w:rPr>
      </w:pPr>
      <w:r>
        <w:rPr>
          <w:rFonts w:ascii="黑体" w:eastAsia="黑体"/>
          <w:b/>
          <w:color w:val="000000" w:themeColor="text1"/>
          <w:sz w:val="24"/>
          <w:szCs w:val="24"/>
          <w:highlight w:val="none"/>
          <w14:textFill>
            <w14:solidFill>
              <w14:schemeClr w14:val="tx1"/>
            </w14:solidFill>
          </w14:textFill>
        </w:rPr>
        <w:t xml:space="preserve">1.2 </w:t>
      </w:r>
      <w:r>
        <w:rPr>
          <w:rFonts w:hint="eastAsia" w:ascii="黑体" w:eastAsia="黑体"/>
          <w:b/>
          <w:color w:val="000000" w:themeColor="text1"/>
          <w:sz w:val="24"/>
          <w:szCs w:val="24"/>
          <w:highlight w:val="none"/>
          <w14:textFill>
            <w14:solidFill>
              <w14:schemeClr w14:val="tx1"/>
            </w14:solidFill>
          </w14:textFill>
        </w:rPr>
        <w:t>应答保证金银行保函格式（以银行保函的方式提交应答保证金的，须提供银行保函原件扫描件）</w:t>
      </w:r>
    </w:p>
    <w:p w14:paraId="5EA9DF8C">
      <w:pPr>
        <w:autoSpaceDE w:val="0"/>
        <w:autoSpaceDN w:val="0"/>
        <w:adjustRightInd w:val="0"/>
        <w:snapToGrid w:val="0"/>
        <w:jc w:val="center"/>
        <w:rPr>
          <w:rFonts w:ascii="黑体" w:hAnsi="黑体" w:eastAsia="黑体"/>
          <w:bCs/>
          <w:color w:val="000000" w:themeColor="text1"/>
          <w:sz w:val="24"/>
          <w:szCs w:val="24"/>
          <w:highlight w:val="none"/>
          <w14:textFill>
            <w14:solidFill>
              <w14:schemeClr w14:val="tx1"/>
            </w14:solidFill>
          </w14:textFill>
        </w:rPr>
      </w:pPr>
    </w:p>
    <w:p w14:paraId="0AC77F11">
      <w:pPr>
        <w:adjustRightInd w:val="0"/>
        <w:snapToGrid w:val="0"/>
        <w:spacing w:line="400" w:lineRule="exact"/>
        <w:jc w:val="center"/>
        <w:rPr>
          <w:rFonts w:ascii="黑体" w:eastAsia="黑体"/>
          <w:color w:val="000000" w:themeColor="text1"/>
          <w:sz w:val="24"/>
          <w:szCs w:val="24"/>
          <w:highlight w:val="none"/>
          <w14:textFill>
            <w14:solidFill>
              <w14:schemeClr w14:val="tx1"/>
            </w14:solidFill>
          </w14:textFill>
        </w:rPr>
      </w:pPr>
      <w:bookmarkStart w:id="117" w:name="_Toc15611"/>
      <w:bookmarkStart w:id="118" w:name="_Toc32452"/>
      <w:r>
        <w:rPr>
          <w:rFonts w:hint="eastAsia" w:ascii="黑体" w:hAnsi="宋体" w:eastAsia="黑体"/>
          <w:b/>
          <w:color w:val="000000" w:themeColor="text1"/>
          <w:kern w:val="0"/>
          <w:sz w:val="28"/>
          <w:szCs w:val="28"/>
          <w:highlight w:val="none"/>
          <w14:textFill>
            <w14:solidFill>
              <w14:schemeClr w14:val="tx1"/>
            </w14:solidFill>
          </w14:textFill>
        </w:rPr>
        <w:t>应答保证金银行保函</w:t>
      </w:r>
      <w:r>
        <w:rPr>
          <w:rFonts w:hint="eastAsia" w:eastAsia="黑体"/>
          <w:b/>
          <w:color w:val="000000" w:themeColor="text1"/>
          <w:sz w:val="28"/>
          <w:szCs w:val="28"/>
          <w:highlight w:val="none"/>
          <w14:textFill>
            <w14:solidFill>
              <w14:schemeClr w14:val="tx1"/>
            </w14:solidFill>
          </w14:textFill>
        </w:rPr>
        <w:t>（格式）</w:t>
      </w:r>
      <w:bookmarkEnd w:id="117"/>
      <w:bookmarkEnd w:id="118"/>
    </w:p>
    <w:p w14:paraId="1398C4E6">
      <w:pPr>
        <w:autoSpaceDE w:val="0"/>
        <w:autoSpaceDN w:val="0"/>
        <w:adjustRightInd w:val="0"/>
        <w:snapToGrid w:val="0"/>
        <w:rPr>
          <w:rFonts w:ascii="宋体"/>
          <w:b/>
          <w:bCs/>
          <w:color w:val="000000" w:themeColor="text1"/>
          <w:sz w:val="28"/>
          <w:szCs w:val="28"/>
          <w:highlight w:val="none"/>
          <w14:textFill>
            <w14:solidFill>
              <w14:schemeClr w14:val="tx1"/>
            </w14:solidFill>
          </w14:textFill>
        </w:rPr>
      </w:pPr>
    </w:p>
    <w:p w14:paraId="30DC34DA">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致：</w:t>
      </w:r>
      <w:r>
        <w:rPr>
          <w:rFonts w:hint="eastAsia" w:ascii="宋体"/>
          <w:bCs/>
          <w:color w:val="000000" w:themeColor="text1"/>
          <w:szCs w:val="21"/>
          <w:highlight w:val="none"/>
          <w:u w:val="single"/>
          <w14:textFill>
            <w14:solidFill>
              <w14:schemeClr w14:val="tx1"/>
            </w14:solidFill>
          </w14:textFill>
        </w:rPr>
        <w:t>（采购</w:t>
      </w:r>
      <w:r>
        <w:rPr>
          <w:rFonts w:hint="default" w:ascii="宋体"/>
          <w:bCs/>
          <w:color w:val="000000" w:themeColor="text1"/>
          <w:szCs w:val="21"/>
          <w:highlight w:val="none"/>
          <w:u w:val="single"/>
          <w14:textFill>
            <w14:solidFill>
              <w14:schemeClr w14:val="tx1"/>
            </w14:solidFill>
          </w14:textFill>
        </w:rPr>
        <w:t>人</w:t>
      </w:r>
      <w:r>
        <w:rPr>
          <w:rFonts w:hint="eastAsia" w:ascii="宋体"/>
          <w:bCs/>
          <w:color w:val="000000" w:themeColor="text1"/>
          <w:szCs w:val="21"/>
          <w:highlight w:val="none"/>
          <w:u w:val="single"/>
          <w14:textFill>
            <w14:solidFill>
              <w14:schemeClr w14:val="tx1"/>
            </w14:solidFill>
          </w14:textFill>
        </w:rPr>
        <w:t>）</w:t>
      </w:r>
    </w:p>
    <w:p w14:paraId="1700BD2D">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本保函作为</w:t>
      </w:r>
      <w:r>
        <w:rPr>
          <w:rFonts w:ascii="宋体"/>
          <w:color w:val="000000" w:themeColor="text1"/>
          <w:szCs w:val="21"/>
          <w:highlight w:val="none"/>
          <w:u w:val="single"/>
          <w14:textFill>
            <w14:solidFill>
              <w14:schemeClr w14:val="tx1"/>
            </w14:solidFill>
          </w14:textFill>
        </w:rPr>
        <w:tab/>
      </w:r>
      <w:r>
        <w:rPr>
          <w:rFonts w:ascii="宋体"/>
          <w:color w:val="000000" w:themeColor="text1"/>
          <w:szCs w:val="21"/>
          <w:highlight w:val="none"/>
          <w:u w:val="single"/>
          <w14:textFill>
            <w14:solidFill>
              <w14:schemeClr w14:val="tx1"/>
            </w14:solidFill>
          </w14:textFill>
        </w:rPr>
        <w:tab/>
      </w:r>
      <w:r>
        <w:rPr>
          <w:rFonts w:ascii="宋体"/>
          <w:color w:val="000000" w:themeColor="text1"/>
          <w:szCs w:val="21"/>
          <w:highlight w:val="none"/>
          <w:u w:val="single"/>
          <w14:textFill>
            <w14:solidFill>
              <w14:schemeClr w14:val="tx1"/>
            </w14:solidFill>
          </w14:textFill>
        </w:rPr>
        <w:tab/>
      </w:r>
      <w:r>
        <w:rPr>
          <w:rFonts w:hint="eastAsia" w:ascii="宋体"/>
          <w:color w:val="000000" w:themeColor="text1"/>
          <w:szCs w:val="21"/>
          <w:highlight w:val="none"/>
          <w14:textFill>
            <w14:solidFill>
              <w14:schemeClr w14:val="tx1"/>
            </w14:solidFill>
          </w14:textFill>
        </w:rPr>
        <w:t>（应答人名称）对（</w:t>
      </w:r>
      <w:r>
        <w:rPr>
          <w:rFonts w:hint="eastAsia"/>
          <w:color w:val="000000" w:themeColor="text1"/>
          <w:szCs w:val="21"/>
          <w:highlight w:val="none"/>
          <w14:textFill>
            <w14:solidFill>
              <w14:schemeClr w14:val="tx1"/>
            </w14:solidFill>
          </w14:textFill>
        </w:rPr>
        <w:t>采购</w:t>
      </w:r>
      <w:r>
        <w:rPr>
          <w:rFonts w:hint="default"/>
          <w:color w:val="000000" w:themeColor="text1"/>
          <w:szCs w:val="21"/>
          <w:highlight w:val="none"/>
          <w14:textFill>
            <w14:solidFill>
              <w14:schemeClr w14:val="tx1"/>
            </w14:solidFill>
          </w14:textFill>
        </w:rPr>
        <w:t>人</w:t>
      </w:r>
      <w:r>
        <w:rPr>
          <w:rFonts w:hint="eastAsia" w:ascii="宋体"/>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关于项目名称：</w:t>
      </w:r>
      <w:r>
        <w:rPr>
          <w:rFonts w:hint="eastAsia" w:ascii="宋体"/>
          <w:color w:val="000000" w:themeColor="text1"/>
          <w:szCs w:val="21"/>
          <w:highlight w:val="none"/>
          <w14:textFill>
            <w14:solidFill>
              <w14:schemeClr w14:val="tx1"/>
            </w14:solidFill>
          </w14:textFill>
        </w:rPr>
        <w:t>的应答邀请而提供的应答保函。</w:t>
      </w:r>
    </w:p>
    <w:p w14:paraId="5F5E1635">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我们</w:t>
      </w:r>
      <w:r>
        <w:rPr>
          <w:rFonts w:ascii="宋体"/>
          <w:color w:val="000000" w:themeColor="text1"/>
          <w:szCs w:val="21"/>
          <w:highlight w:val="none"/>
          <w:u w:val="single"/>
          <w14:textFill>
            <w14:solidFill>
              <w14:schemeClr w14:val="tx1"/>
            </w14:solidFill>
          </w14:textFill>
        </w:rPr>
        <w:tab/>
      </w:r>
      <w:r>
        <w:rPr>
          <w:rFonts w:ascii="宋体"/>
          <w:color w:val="000000" w:themeColor="text1"/>
          <w:szCs w:val="21"/>
          <w:highlight w:val="none"/>
          <w:u w:val="single"/>
          <w14:textFill>
            <w14:solidFill>
              <w14:schemeClr w14:val="tx1"/>
            </w14:solidFill>
          </w14:textFill>
        </w:rPr>
        <w:tab/>
      </w:r>
      <w:r>
        <w:rPr>
          <w:rFonts w:ascii="宋体"/>
          <w:color w:val="000000" w:themeColor="text1"/>
          <w:szCs w:val="21"/>
          <w:highlight w:val="none"/>
          <w:u w:val="single"/>
          <w14:textFill>
            <w14:solidFill>
              <w14:schemeClr w14:val="tx1"/>
            </w14:solidFill>
          </w14:textFill>
        </w:rPr>
        <w:tab/>
      </w:r>
      <w:r>
        <w:rPr>
          <w:rFonts w:hint="eastAsia" w:ascii="宋体"/>
          <w:color w:val="000000" w:themeColor="text1"/>
          <w:szCs w:val="21"/>
          <w:highlight w:val="none"/>
          <w14:textFill>
            <w14:solidFill>
              <w14:schemeClr w14:val="tx1"/>
            </w14:solidFill>
          </w14:textFill>
        </w:rPr>
        <w:t>（银行名称）无条件地、不可撤销地具结保证本行、其继承人和受让人，一旦在收到贵方提出的就下述任何一种事实的书面通知，立即无追索地向贵方支付金额为人民币</w:t>
      </w:r>
      <w:r>
        <w:rPr>
          <w:rFonts w:ascii="宋体"/>
          <w:color w:val="000000" w:themeColor="text1"/>
          <w:szCs w:val="21"/>
          <w:highlight w:val="none"/>
          <w:u w:val="single"/>
          <w14:textFill>
            <w14:solidFill>
              <w14:schemeClr w14:val="tx1"/>
            </w14:solidFill>
          </w14:textFill>
        </w:rPr>
        <w:tab/>
      </w:r>
      <w:r>
        <w:rPr>
          <w:rFonts w:ascii="宋体"/>
          <w:color w:val="000000" w:themeColor="text1"/>
          <w:szCs w:val="21"/>
          <w:highlight w:val="none"/>
          <w:u w:val="single"/>
          <w14:textFill>
            <w14:solidFill>
              <w14:schemeClr w14:val="tx1"/>
            </w14:solidFill>
          </w14:textFill>
        </w:rPr>
        <w:tab/>
      </w:r>
      <w:r>
        <w:rPr>
          <w:rFonts w:ascii="宋体"/>
          <w:color w:val="000000" w:themeColor="text1"/>
          <w:szCs w:val="21"/>
          <w:highlight w:val="none"/>
          <w:u w:val="single"/>
          <w14:textFill>
            <w14:solidFill>
              <w14:schemeClr w14:val="tx1"/>
            </w14:solidFill>
          </w14:textFill>
        </w:rPr>
        <w:tab/>
      </w:r>
      <w:r>
        <w:rPr>
          <w:rFonts w:hint="eastAsia" w:ascii="宋体"/>
          <w:color w:val="000000" w:themeColor="text1"/>
          <w:szCs w:val="21"/>
          <w:highlight w:val="none"/>
          <w14:textFill>
            <w14:solidFill>
              <w14:schemeClr w14:val="tx1"/>
            </w14:solidFill>
          </w14:textFill>
        </w:rPr>
        <w:t>元的保证金：</w:t>
      </w:r>
    </w:p>
    <w:p w14:paraId="422A8FB3">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ascii="宋体"/>
          <w:color w:val="000000" w:themeColor="text1"/>
          <w:szCs w:val="21"/>
          <w:highlight w:val="none"/>
          <w14:textFill>
            <w14:solidFill>
              <w14:schemeClr w14:val="tx1"/>
            </w14:solidFill>
          </w14:textFill>
        </w:rPr>
        <w:t>1</w:t>
      </w:r>
      <w:r>
        <w:rPr>
          <w:rFonts w:hint="eastAsia" w:ascii="宋体"/>
          <w:color w:val="000000" w:themeColor="text1"/>
          <w:szCs w:val="21"/>
          <w:highlight w:val="none"/>
          <w14:textFill>
            <w14:solidFill>
              <w14:schemeClr w14:val="tx1"/>
            </w14:solidFill>
          </w14:textFill>
        </w:rPr>
        <w:t>）在提交应答文件截止时间后应答人撤销其应答文件的；</w:t>
      </w:r>
    </w:p>
    <w:p w14:paraId="2A3191D4">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）成交人拒绝按采购文件的规定和应答文件的承诺签订合同的；</w:t>
      </w:r>
    </w:p>
    <w:p w14:paraId="40DBED2D">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）成交人未按采购文件规定提交履约保证金的；</w:t>
      </w:r>
    </w:p>
    <w:p w14:paraId="39908263">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ascii="宋体"/>
          <w:color w:val="000000" w:themeColor="text1"/>
          <w:szCs w:val="21"/>
          <w:highlight w:val="none"/>
          <w14:textFill>
            <w14:solidFill>
              <w14:schemeClr w14:val="tx1"/>
            </w14:solidFill>
          </w14:textFill>
        </w:rPr>
        <w:t>4</w:t>
      </w:r>
      <w:r>
        <w:rPr>
          <w:rFonts w:hint="eastAsia" w:ascii="宋体"/>
          <w:color w:val="000000" w:themeColor="text1"/>
          <w:szCs w:val="21"/>
          <w:highlight w:val="none"/>
          <w14:textFill>
            <w14:solidFill>
              <w14:schemeClr w14:val="tx1"/>
            </w14:solidFill>
          </w14:textFill>
        </w:rPr>
        <w:t>）在提交应答文件截止时间后主动对应答文件提出实质性修改的；</w:t>
      </w:r>
    </w:p>
    <w:p w14:paraId="3BCB3DBB">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ascii="宋体"/>
          <w:color w:val="000000" w:themeColor="text1"/>
          <w:szCs w:val="21"/>
          <w:highlight w:val="none"/>
          <w14:textFill>
            <w14:solidFill>
              <w14:schemeClr w14:val="tx1"/>
            </w14:solidFill>
          </w14:textFill>
        </w:rPr>
        <w:t>5</w:t>
      </w:r>
      <w:r>
        <w:rPr>
          <w:rFonts w:hint="eastAsia" w:ascii="宋体"/>
          <w:color w:val="000000" w:themeColor="text1"/>
          <w:szCs w:val="21"/>
          <w:highlight w:val="none"/>
          <w14:textFill>
            <w14:solidFill>
              <w14:schemeClr w14:val="tx1"/>
            </w14:solidFill>
          </w14:textFill>
        </w:rPr>
        <w:t>）应答人串通应答或有其他违法行为的；</w:t>
      </w:r>
    </w:p>
    <w:p w14:paraId="45596564">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同时，我行无条件地、不可撤销地具结保证本行、其继承人和受让人，一旦在收到贵方提出的应答人未按照采购文件规定交纳采购代理服务费的书面通知，立即无追索地、按实际应支付的采购代理服务费金额向贵方支付保证金，该保证金最多不超过本保函第二段承诺的金额。</w:t>
      </w:r>
    </w:p>
    <w:p w14:paraId="7C4F3032">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本保函自签发之日起生效，直至应答有效期满后止。如果贵方和应答人一致书面同意延长应答有效期的，则本保函有效期相应延长。</w:t>
      </w:r>
    </w:p>
    <w:p w14:paraId="36A0F1EC">
      <w:pPr>
        <w:autoSpaceDE w:val="0"/>
        <w:autoSpaceDN w:val="0"/>
        <w:adjustRightInd w:val="0"/>
        <w:snapToGrid w:val="0"/>
        <w:spacing w:line="400" w:lineRule="exact"/>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如果应答人成交，本保函将在上述期满后继续生效，直至应答人提供符合合同规定的履约保证金为止。</w:t>
      </w:r>
    </w:p>
    <w:p w14:paraId="2E1D6CD3">
      <w:pPr>
        <w:tabs>
          <w:tab w:val="left" w:pos="7200"/>
        </w:tabs>
        <w:autoSpaceDE w:val="0"/>
        <w:autoSpaceDN w:val="0"/>
        <w:adjustRightInd w:val="0"/>
        <w:snapToGrid w:val="0"/>
        <w:spacing w:before="158" w:beforeLines="50" w:line="400" w:lineRule="exact"/>
        <w:ind w:left="3497" w:leftChars="1457" w:firstLine="480" w:firstLineChars="200"/>
        <w:rPr>
          <w:rFonts w:hAnsi="宋体"/>
          <w:color w:val="000000" w:themeColor="text1"/>
          <w:spacing w:val="8"/>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出函银行名称：</w:t>
      </w:r>
      <w:r>
        <w:rPr>
          <w:rFonts w:hint="eastAsia" w:hAnsi="宋体"/>
          <w:color w:val="000000" w:themeColor="text1"/>
          <w:spacing w:val="8"/>
          <w:szCs w:val="21"/>
          <w:highlight w:val="none"/>
          <w:u w:val="single"/>
          <w14:textFill>
            <w14:solidFill>
              <w14:schemeClr w14:val="tx1"/>
            </w14:solidFill>
          </w14:textFill>
        </w:rPr>
        <w:t>（盖章）</w:t>
      </w:r>
    </w:p>
    <w:p w14:paraId="02CE2801">
      <w:pPr>
        <w:tabs>
          <w:tab w:val="left" w:pos="7200"/>
        </w:tabs>
        <w:autoSpaceDE w:val="0"/>
        <w:autoSpaceDN w:val="0"/>
        <w:adjustRightInd w:val="0"/>
        <w:snapToGrid w:val="0"/>
        <w:spacing w:before="158" w:beforeLines="50" w:line="400" w:lineRule="exact"/>
        <w:ind w:left="3497" w:leftChars="1457" w:firstLine="480" w:firstLineChars="200"/>
        <w:rPr>
          <w:rFonts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负责人：</w:t>
      </w:r>
      <w:r>
        <w:rPr>
          <w:rFonts w:hint="eastAsia"/>
          <w:color w:val="000000" w:themeColor="text1"/>
          <w:highlight w:val="none"/>
          <w:u w:val="single"/>
          <w14:textFill>
            <w14:solidFill>
              <w14:schemeClr w14:val="tx1"/>
            </w14:solidFill>
          </w14:textFill>
        </w:rPr>
        <w:t>（签字）</w:t>
      </w:r>
    </w:p>
    <w:p w14:paraId="3CE4DA38">
      <w:pPr>
        <w:tabs>
          <w:tab w:val="left" w:pos="7200"/>
        </w:tabs>
        <w:autoSpaceDE w:val="0"/>
        <w:autoSpaceDN w:val="0"/>
        <w:adjustRightInd w:val="0"/>
        <w:snapToGrid w:val="0"/>
        <w:spacing w:before="158" w:beforeLines="50" w:line="400" w:lineRule="exact"/>
        <w:ind w:left="3497" w:leftChars="1457" w:firstLine="480" w:firstLineChars="200"/>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签发日期：</w:t>
      </w:r>
      <w:r>
        <w:rPr>
          <w:rFonts w:ascii="宋体" w:hAnsi="宋体"/>
          <w:color w:val="000000" w:themeColor="text1"/>
          <w:szCs w:val="21"/>
          <w:highlight w:val="none"/>
          <w14:textFill>
            <w14:solidFill>
              <w14:schemeClr w14:val="tx1"/>
            </w14:solidFill>
          </w14:textFill>
        </w:rPr>
        <w:t>XX 年 XX 月 XX 日</w:t>
      </w:r>
    </w:p>
    <w:p w14:paraId="0B1A9503">
      <w:pPr>
        <w:pStyle w:val="14"/>
        <w:rPr>
          <w:rFonts w:ascii="宋体" w:hAnsi="宋体"/>
          <w:color w:val="000000" w:themeColor="text1"/>
          <w:szCs w:val="21"/>
          <w:highlight w:val="none"/>
          <w14:textFill>
            <w14:solidFill>
              <w14:schemeClr w14:val="tx1"/>
            </w14:solidFill>
          </w14:textFill>
        </w:rPr>
      </w:pPr>
    </w:p>
    <w:p w14:paraId="180BDF4B">
      <w:pPr>
        <w:pStyle w:val="15"/>
      </w:pPr>
    </w:p>
    <w:p w14:paraId="3A256DDB">
      <w:pPr>
        <w:numPr>
          <w:ilvl w:val="255"/>
          <w:numId w:val="0"/>
        </w:numPr>
        <w:adjustRightInd w:val="0"/>
        <w:snapToGrid w:val="0"/>
        <w:spacing w:line="400" w:lineRule="exact"/>
        <w:jc w:val="left"/>
        <w:rPr>
          <w:rFonts w:ascii="黑体" w:eastAsia="黑体"/>
          <w:sz w:val="24"/>
          <w:szCs w:val="24"/>
          <w:highlight w:val="none"/>
        </w:rPr>
      </w:pPr>
      <w:r>
        <w:rPr>
          <w:rFonts w:hint="eastAsia" w:ascii="黑体" w:eastAsia="黑体"/>
          <w:b/>
          <w:color w:val="000000" w:themeColor="text1"/>
          <w:sz w:val="24"/>
          <w:szCs w:val="24"/>
          <w:highlight w:val="none"/>
          <w14:textFill>
            <w14:solidFill>
              <w14:schemeClr w14:val="tx1"/>
            </w14:solidFill>
          </w14:textFill>
        </w:rPr>
        <w:t>1.3</w:t>
      </w:r>
      <w:r>
        <w:rPr>
          <w:rFonts w:hint="eastAsia" w:ascii="黑体" w:eastAsia="黑体"/>
          <w:b/>
          <w:sz w:val="24"/>
          <w:szCs w:val="24"/>
          <w:highlight w:val="none"/>
        </w:rPr>
        <w:t>应答保证金明细表</w:t>
      </w:r>
    </w:p>
    <w:p w14:paraId="6CBD967D">
      <w:pPr>
        <w:adjustRightInd w:val="0"/>
        <w:snapToGrid w:val="0"/>
        <w:jc w:val="left"/>
        <w:rPr>
          <w:rFonts w:ascii="黑体" w:eastAsia="黑体"/>
          <w:szCs w:val="21"/>
          <w:highlight w:val="none"/>
        </w:rPr>
      </w:pPr>
    </w:p>
    <w:p w14:paraId="0D7360AE">
      <w:pPr>
        <w:tabs>
          <w:tab w:val="right" w:pos="7200"/>
        </w:tabs>
        <w:adjustRightInd w:val="0"/>
        <w:snapToGrid w:val="0"/>
        <w:spacing w:line="400" w:lineRule="exact"/>
        <w:ind w:firstLine="480" w:firstLineChars="20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default" w:ascii="宋体" w:hAnsi="宋体" w:cs="宋体"/>
          <w:color w:val="000000" w:themeColor="text1"/>
          <w:szCs w:val="21"/>
          <w:highlight w:val="none"/>
          <w14:textFill>
            <w14:solidFill>
              <w14:schemeClr w14:val="tx1"/>
            </w14:solidFill>
          </w14:textFill>
        </w:rPr>
        <w:t>（采购人）</w:t>
      </w:r>
    </w:p>
    <w:p w14:paraId="63595A11">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我公司承诺：以下账户为公司的基本账户，作为我公司应答保证金的付款账户和收款账户。信息真实、有效，如有不实之处，愿承担由此产生的一切后果。</w:t>
      </w:r>
    </w:p>
    <w:tbl>
      <w:tblPr>
        <w:tblStyle w:val="16"/>
        <w:tblW w:w="8481" w:type="dxa"/>
        <w:jc w:val="center"/>
        <w:tblLayout w:type="fixed"/>
        <w:tblCellMar>
          <w:top w:w="0" w:type="dxa"/>
          <w:left w:w="108" w:type="dxa"/>
          <w:bottom w:w="0" w:type="dxa"/>
          <w:right w:w="108" w:type="dxa"/>
        </w:tblCellMar>
      </w:tblPr>
      <w:tblGrid>
        <w:gridCol w:w="1144"/>
        <w:gridCol w:w="2250"/>
        <w:gridCol w:w="5087"/>
      </w:tblGrid>
      <w:tr w14:paraId="48F9CBAE">
        <w:tblPrEx>
          <w:tblCellMar>
            <w:top w:w="0" w:type="dxa"/>
            <w:left w:w="108" w:type="dxa"/>
            <w:bottom w:w="0" w:type="dxa"/>
            <w:right w:w="108" w:type="dxa"/>
          </w:tblCellMar>
        </w:tblPrEx>
        <w:trPr>
          <w:trHeight w:val="536" w:hRule="atLeast"/>
          <w:jc w:val="center"/>
        </w:trPr>
        <w:tc>
          <w:tcPr>
            <w:tcW w:w="1144" w:type="dxa"/>
            <w:tcBorders>
              <w:top w:val="single" w:color="auto" w:sz="4" w:space="0"/>
              <w:left w:val="single" w:color="auto" w:sz="4" w:space="0"/>
              <w:bottom w:val="single" w:color="auto" w:sz="4" w:space="0"/>
              <w:right w:val="single" w:color="auto" w:sz="4" w:space="0"/>
            </w:tcBorders>
            <w:vAlign w:val="center"/>
          </w:tcPr>
          <w:p w14:paraId="3644239F">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50" w:type="dxa"/>
            <w:tcBorders>
              <w:top w:val="single" w:color="auto" w:sz="4" w:space="0"/>
              <w:left w:val="nil"/>
              <w:bottom w:val="single" w:color="auto" w:sz="4" w:space="0"/>
              <w:right w:val="single" w:color="auto" w:sz="4" w:space="0"/>
            </w:tcBorders>
            <w:vAlign w:val="center"/>
          </w:tcPr>
          <w:p w14:paraId="73B6869A">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w:t>
            </w:r>
          </w:p>
        </w:tc>
        <w:tc>
          <w:tcPr>
            <w:tcW w:w="5087" w:type="dxa"/>
            <w:tcBorders>
              <w:top w:val="single" w:color="auto" w:sz="4" w:space="0"/>
              <w:left w:val="nil"/>
              <w:bottom w:val="single" w:color="auto" w:sz="4" w:space="0"/>
              <w:right w:val="single" w:color="auto" w:sz="4" w:space="0"/>
            </w:tcBorders>
            <w:vAlign w:val="center"/>
          </w:tcPr>
          <w:p w14:paraId="03935224">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汇款单位填写信息</w:t>
            </w:r>
          </w:p>
        </w:tc>
      </w:tr>
      <w:tr w14:paraId="4061E37C">
        <w:tblPrEx>
          <w:tblCellMar>
            <w:top w:w="0" w:type="dxa"/>
            <w:left w:w="108" w:type="dxa"/>
            <w:bottom w:w="0" w:type="dxa"/>
            <w:right w:w="108" w:type="dxa"/>
          </w:tblCellMar>
        </w:tblPrEx>
        <w:trPr>
          <w:trHeight w:val="567" w:hRule="atLeast"/>
          <w:jc w:val="center"/>
        </w:trPr>
        <w:tc>
          <w:tcPr>
            <w:tcW w:w="1144" w:type="dxa"/>
            <w:tcBorders>
              <w:top w:val="nil"/>
              <w:left w:val="single" w:color="auto" w:sz="4" w:space="0"/>
              <w:bottom w:val="single" w:color="auto" w:sz="4" w:space="0"/>
              <w:right w:val="single" w:color="auto" w:sz="4" w:space="0"/>
            </w:tcBorders>
            <w:vAlign w:val="center"/>
          </w:tcPr>
          <w:p w14:paraId="44CD4B28">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50" w:type="dxa"/>
            <w:tcBorders>
              <w:top w:val="nil"/>
              <w:left w:val="nil"/>
              <w:bottom w:val="single" w:color="auto" w:sz="4" w:space="0"/>
              <w:right w:val="single" w:color="auto" w:sz="4" w:space="0"/>
            </w:tcBorders>
            <w:vAlign w:val="center"/>
          </w:tcPr>
          <w:p w14:paraId="2F3CBEC5">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tc>
        <w:tc>
          <w:tcPr>
            <w:tcW w:w="5087" w:type="dxa"/>
            <w:tcBorders>
              <w:top w:val="nil"/>
              <w:left w:val="nil"/>
              <w:bottom w:val="single" w:color="auto" w:sz="4" w:space="0"/>
              <w:right w:val="single" w:color="auto" w:sz="4" w:space="0"/>
            </w:tcBorders>
            <w:vAlign w:val="center"/>
          </w:tcPr>
          <w:p w14:paraId="668E578A">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p>
        </w:tc>
      </w:tr>
      <w:tr w14:paraId="586791F8">
        <w:tblPrEx>
          <w:tblCellMar>
            <w:top w:w="0" w:type="dxa"/>
            <w:left w:w="108" w:type="dxa"/>
            <w:bottom w:w="0" w:type="dxa"/>
            <w:right w:w="108" w:type="dxa"/>
          </w:tblCellMar>
        </w:tblPrEx>
        <w:trPr>
          <w:trHeight w:val="567" w:hRule="atLeast"/>
          <w:jc w:val="center"/>
        </w:trPr>
        <w:tc>
          <w:tcPr>
            <w:tcW w:w="1144" w:type="dxa"/>
            <w:tcBorders>
              <w:top w:val="nil"/>
              <w:left w:val="single" w:color="auto" w:sz="4" w:space="0"/>
              <w:bottom w:val="single" w:color="auto" w:sz="4" w:space="0"/>
              <w:right w:val="single" w:color="auto" w:sz="4" w:space="0"/>
            </w:tcBorders>
            <w:vAlign w:val="center"/>
          </w:tcPr>
          <w:p w14:paraId="3B94B14F">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50" w:type="dxa"/>
            <w:tcBorders>
              <w:top w:val="nil"/>
              <w:left w:val="nil"/>
              <w:bottom w:val="single" w:color="auto" w:sz="4" w:space="0"/>
              <w:right w:val="single" w:color="auto" w:sz="4" w:space="0"/>
            </w:tcBorders>
            <w:vAlign w:val="center"/>
          </w:tcPr>
          <w:p w14:paraId="740E2109">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行 号</w:t>
            </w:r>
          </w:p>
        </w:tc>
        <w:tc>
          <w:tcPr>
            <w:tcW w:w="5087" w:type="dxa"/>
            <w:tcBorders>
              <w:top w:val="nil"/>
              <w:left w:val="nil"/>
              <w:bottom w:val="single" w:color="auto" w:sz="4" w:space="0"/>
              <w:right w:val="single" w:color="auto" w:sz="4" w:space="0"/>
            </w:tcBorders>
            <w:vAlign w:val="center"/>
          </w:tcPr>
          <w:p w14:paraId="4DB3A316">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p>
        </w:tc>
      </w:tr>
      <w:tr w14:paraId="69EE2413">
        <w:tblPrEx>
          <w:tblCellMar>
            <w:top w:w="0" w:type="dxa"/>
            <w:left w:w="108" w:type="dxa"/>
            <w:bottom w:w="0" w:type="dxa"/>
            <w:right w:w="108" w:type="dxa"/>
          </w:tblCellMar>
        </w:tblPrEx>
        <w:trPr>
          <w:trHeight w:val="567" w:hRule="atLeast"/>
          <w:jc w:val="center"/>
        </w:trPr>
        <w:tc>
          <w:tcPr>
            <w:tcW w:w="1144" w:type="dxa"/>
            <w:tcBorders>
              <w:top w:val="nil"/>
              <w:left w:val="single" w:color="auto" w:sz="4" w:space="0"/>
              <w:bottom w:val="single" w:color="auto" w:sz="4" w:space="0"/>
              <w:right w:val="single" w:color="auto" w:sz="4" w:space="0"/>
            </w:tcBorders>
            <w:vAlign w:val="center"/>
          </w:tcPr>
          <w:p w14:paraId="643F8503">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50" w:type="dxa"/>
            <w:tcBorders>
              <w:top w:val="nil"/>
              <w:left w:val="nil"/>
              <w:bottom w:val="single" w:color="auto" w:sz="4" w:space="0"/>
              <w:right w:val="single" w:color="auto" w:sz="4" w:space="0"/>
            </w:tcBorders>
            <w:vAlign w:val="center"/>
          </w:tcPr>
          <w:p w14:paraId="6D877355">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 户 行</w:t>
            </w:r>
          </w:p>
        </w:tc>
        <w:tc>
          <w:tcPr>
            <w:tcW w:w="5087" w:type="dxa"/>
            <w:tcBorders>
              <w:top w:val="nil"/>
              <w:left w:val="nil"/>
              <w:bottom w:val="single" w:color="auto" w:sz="4" w:space="0"/>
              <w:right w:val="single" w:color="auto" w:sz="4" w:space="0"/>
            </w:tcBorders>
            <w:vAlign w:val="center"/>
          </w:tcPr>
          <w:p w14:paraId="7CAF6498">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p>
        </w:tc>
      </w:tr>
      <w:tr w14:paraId="24247ADB">
        <w:tblPrEx>
          <w:tblCellMar>
            <w:top w:w="0" w:type="dxa"/>
            <w:left w:w="108" w:type="dxa"/>
            <w:bottom w:w="0" w:type="dxa"/>
            <w:right w:w="108" w:type="dxa"/>
          </w:tblCellMar>
        </w:tblPrEx>
        <w:trPr>
          <w:trHeight w:val="567" w:hRule="atLeast"/>
          <w:jc w:val="center"/>
        </w:trPr>
        <w:tc>
          <w:tcPr>
            <w:tcW w:w="1144" w:type="dxa"/>
            <w:tcBorders>
              <w:top w:val="nil"/>
              <w:left w:val="single" w:color="auto" w:sz="4" w:space="0"/>
              <w:bottom w:val="single" w:color="auto" w:sz="4" w:space="0"/>
              <w:right w:val="single" w:color="auto" w:sz="4" w:space="0"/>
            </w:tcBorders>
            <w:vAlign w:val="center"/>
          </w:tcPr>
          <w:p w14:paraId="561814A6">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50" w:type="dxa"/>
            <w:tcBorders>
              <w:top w:val="nil"/>
              <w:left w:val="nil"/>
              <w:bottom w:val="single" w:color="auto" w:sz="4" w:space="0"/>
              <w:right w:val="single" w:color="auto" w:sz="4" w:space="0"/>
            </w:tcBorders>
            <w:vAlign w:val="center"/>
          </w:tcPr>
          <w:p w14:paraId="27F79A00">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    号</w:t>
            </w:r>
          </w:p>
        </w:tc>
        <w:tc>
          <w:tcPr>
            <w:tcW w:w="5087" w:type="dxa"/>
            <w:tcBorders>
              <w:top w:val="nil"/>
              <w:left w:val="nil"/>
              <w:bottom w:val="single" w:color="auto" w:sz="4" w:space="0"/>
              <w:right w:val="single" w:color="auto" w:sz="4" w:space="0"/>
            </w:tcBorders>
            <w:vAlign w:val="center"/>
          </w:tcPr>
          <w:p w14:paraId="7E0C009F">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p>
        </w:tc>
      </w:tr>
      <w:tr w14:paraId="6C9AADE7">
        <w:tblPrEx>
          <w:tblCellMar>
            <w:top w:w="0" w:type="dxa"/>
            <w:left w:w="108" w:type="dxa"/>
            <w:bottom w:w="0" w:type="dxa"/>
            <w:right w:w="108" w:type="dxa"/>
          </w:tblCellMar>
        </w:tblPrEx>
        <w:trPr>
          <w:trHeight w:val="464" w:hRule="atLeast"/>
          <w:jc w:val="center"/>
        </w:trPr>
        <w:tc>
          <w:tcPr>
            <w:tcW w:w="1144" w:type="dxa"/>
            <w:tcBorders>
              <w:top w:val="single" w:color="auto" w:sz="4" w:space="0"/>
              <w:left w:val="single" w:color="auto" w:sz="4" w:space="0"/>
              <w:bottom w:val="single" w:color="auto" w:sz="4" w:space="0"/>
              <w:right w:val="single" w:color="auto" w:sz="4" w:space="0"/>
            </w:tcBorders>
            <w:vAlign w:val="center"/>
          </w:tcPr>
          <w:p w14:paraId="5FD5E718">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50" w:type="dxa"/>
            <w:tcBorders>
              <w:top w:val="single" w:color="auto" w:sz="4" w:space="0"/>
              <w:left w:val="single" w:color="auto" w:sz="4" w:space="0"/>
              <w:bottom w:val="single" w:color="auto" w:sz="4" w:space="0"/>
              <w:right w:val="single" w:color="auto" w:sz="4" w:space="0"/>
            </w:tcBorders>
            <w:vAlign w:val="center"/>
          </w:tcPr>
          <w:p w14:paraId="42F54E5B">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p>
        </w:tc>
        <w:tc>
          <w:tcPr>
            <w:tcW w:w="5087" w:type="dxa"/>
            <w:tcBorders>
              <w:top w:val="single" w:color="auto" w:sz="4" w:space="0"/>
              <w:left w:val="single" w:color="auto" w:sz="4" w:space="0"/>
              <w:bottom w:val="single" w:color="auto" w:sz="4" w:space="0"/>
              <w:right w:val="single" w:color="auto" w:sz="4" w:space="0"/>
            </w:tcBorders>
            <w:vAlign w:val="center"/>
          </w:tcPr>
          <w:p w14:paraId="35841A43">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p>
        </w:tc>
      </w:tr>
      <w:tr w14:paraId="5157E189">
        <w:tblPrEx>
          <w:tblCellMar>
            <w:top w:w="0" w:type="dxa"/>
            <w:left w:w="108" w:type="dxa"/>
            <w:bottom w:w="0" w:type="dxa"/>
            <w:right w:w="108" w:type="dxa"/>
          </w:tblCellMar>
        </w:tblPrEx>
        <w:trPr>
          <w:trHeight w:val="602" w:hRule="atLeast"/>
          <w:jc w:val="center"/>
        </w:trPr>
        <w:tc>
          <w:tcPr>
            <w:tcW w:w="1144" w:type="dxa"/>
            <w:tcBorders>
              <w:top w:val="single" w:color="auto" w:sz="4" w:space="0"/>
              <w:left w:val="single" w:color="auto" w:sz="4" w:space="0"/>
              <w:bottom w:val="single" w:color="auto" w:sz="4" w:space="0"/>
              <w:right w:val="single" w:color="auto" w:sz="4" w:space="0"/>
            </w:tcBorders>
            <w:vAlign w:val="center"/>
          </w:tcPr>
          <w:p w14:paraId="2BB64EF9">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250" w:type="dxa"/>
            <w:tcBorders>
              <w:top w:val="single" w:color="auto" w:sz="4" w:space="0"/>
              <w:left w:val="single" w:color="auto" w:sz="4" w:space="0"/>
              <w:bottom w:val="single" w:color="auto" w:sz="4" w:space="0"/>
              <w:right w:val="single" w:color="auto" w:sz="4" w:space="0"/>
            </w:tcBorders>
            <w:vAlign w:val="center"/>
          </w:tcPr>
          <w:p w14:paraId="0FCA2F3B">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5087" w:type="dxa"/>
            <w:tcBorders>
              <w:top w:val="single" w:color="auto" w:sz="4" w:space="0"/>
              <w:left w:val="single" w:color="auto" w:sz="4" w:space="0"/>
              <w:bottom w:val="single" w:color="auto" w:sz="4" w:space="0"/>
              <w:right w:val="single" w:color="auto" w:sz="4" w:space="0"/>
            </w:tcBorders>
            <w:vAlign w:val="center"/>
          </w:tcPr>
          <w:p w14:paraId="032DF782">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p>
        </w:tc>
      </w:tr>
      <w:tr w14:paraId="22B709E9">
        <w:tblPrEx>
          <w:tblCellMar>
            <w:top w:w="0" w:type="dxa"/>
            <w:left w:w="108" w:type="dxa"/>
            <w:bottom w:w="0" w:type="dxa"/>
            <w:right w:w="108" w:type="dxa"/>
          </w:tblCellMar>
        </w:tblPrEx>
        <w:trPr>
          <w:trHeight w:val="639" w:hRule="atLeast"/>
          <w:jc w:val="center"/>
        </w:trPr>
        <w:tc>
          <w:tcPr>
            <w:tcW w:w="1144" w:type="dxa"/>
            <w:tcBorders>
              <w:top w:val="single" w:color="auto" w:sz="4" w:space="0"/>
              <w:left w:val="single" w:color="auto" w:sz="4" w:space="0"/>
              <w:bottom w:val="single" w:color="auto" w:sz="4" w:space="0"/>
              <w:right w:val="single" w:color="auto" w:sz="4" w:space="0"/>
            </w:tcBorders>
            <w:vAlign w:val="center"/>
          </w:tcPr>
          <w:p w14:paraId="7549F2D7">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250" w:type="dxa"/>
            <w:tcBorders>
              <w:top w:val="single" w:color="auto" w:sz="4" w:space="0"/>
              <w:left w:val="single" w:color="auto" w:sz="4" w:space="0"/>
              <w:bottom w:val="single" w:color="auto" w:sz="4" w:space="0"/>
              <w:right w:val="single" w:color="auto" w:sz="4" w:space="0"/>
            </w:tcBorders>
            <w:vAlign w:val="center"/>
          </w:tcPr>
          <w:p w14:paraId="3D5F71EE">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    箱</w:t>
            </w:r>
          </w:p>
        </w:tc>
        <w:tc>
          <w:tcPr>
            <w:tcW w:w="5087" w:type="dxa"/>
            <w:tcBorders>
              <w:top w:val="single" w:color="auto" w:sz="4" w:space="0"/>
              <w:left w:val="single" w:color="auto" w:sz="4" w:space="0"/>
              <w:bottom w:val="single" w:color="auto" w:sz="4" w:space="0"/>
              <w:right w:val="single" w:color="auto" w:sz="4" w:space="0"/>
            </w:tcBorders>
            <w:vAlign w:val="center"/>
          </w:tcPr>
          <w:p w14:paraId="0B43341A">
            <w:pPr>
              <w:tabs>
                <w:tab w:val="right" w:pos="7200"/>
              </w:tabs>
              <w:adjustRightInd w:val="0"/>
              <w:snapToGrid w:val="0"/>
              <w:spacing w:line="400" w:lineRule="exact"/>
              <w:ind w:firstLine="480" w:firstLineChars="200"/>
              <w:rPr>
                <w:rFonts w:ascii="宋体" w:hAnsi="宋体" w:cs="宋体"/>
                <w:color w:val="000000" w:themeColor="text1"/>
                <w:szCs w:val="21"/>
                <w:highlight w:val="none"/>
                <w14:textFill>
                  <w14:solidFill>
                    <w14:schemeClr w14:val="tx1"/>
                  </w14:solidFill>
                </w14:textFill>
              </w:rPr>
            </w:pPr>
          </w:p>
        </w:tc>
      </w:tr>
    </w:tbl>
    <w:p w14:paraId="67A3A7F6">
      <w:pPr>
        <w:wordWrap w:val="0"/>
        <w:spacing w:line="520" w:lineRule="exact"/>
        <w:jc w:val="right"/>
        <w:rPr>
          <w:rStyle w:val="27"/>
          <w:rFonts w:hint="eastAsia" w:ascii="宋体" w:hAnsi="宋体" w:eastAsia="宋体" w:cs="宋体"/>
          <w:sz w:val="21"/>
          <w:szCs w:val="21"/>
          <w:highlight w:val="none"/>
        </w:rPr>
      </w:pPr>
    </w:p>
    <w:p w14:paraId="758408D8">
      <w:pPr>
        <w:wordWrap w:val="0"/>
        <w:spacing w:line="520" w:lineRule="exact"/>
        <w:jc w:val="right"/>
        <w:rPr>
          <w:rStyle w:val="27"/>
          <w:rFonts w:hint="eastAsia" w:ascii="宋体" w:hAnsi="宋体" w:eastAsia="宋体" w:cs="宋体"/>
          <w:sz w:val="21"/>
          <w:szCs w:val="21"/>
          <w:highlight w:val="none"/>
        </w:rPr>
      </w:pPr>
    </w:p>
    <w:p w14:paraId="58C1AC53">
      <w:pPr>
        <w:wordWrap w:val="0"/>
        <w:spacing w:line="520" w:lineRule="exact"/>
        <w:jc w:val="right"/>
        <w:rPr>
          <w:rStyle w:val="27"/>
          <w:rFonts w:hint="eastAsia" w:ascii="宋体" w:hAnsi="宋体" w:eastAsia="宋体" w:cs="宋体"/>
          <w:sz w:val="21"/>
          <w:szCs w:val="21"/>
          <w:highlight w:val="none"/>
        </w:rPr>
      </w:pPr>
    </w:p>
    <w:p w14:paraId="1C6821F0">
      <w:pPr>
        <w:wordWrap w:val="0"/>
        <w:spacing w:line="520" w:lineRule="exact"/>
        <w:jc w:val="right"/>
        <w:rPr>
          <w:rStyle w:val="27"/>
          <w:rFonts w:ascii="宋体" w:hAnsi="宋体" w:eastAsia="宋体" w:cs="宋体"/>
          <w:sz w:val="21"/>
          <w:szCs w:val="21"/>
          <w:highlight w:val="none"/>
        </w:rPr>
      </w:pPr>
      <w:r>
        <w:rPr>
          <w:rStyle w:val="27"/>
          <w:rFonts w:hint="eastAsia" w:ascii="宋体" w:hAnsi="宋体" w:eastAsia="宋体" w:cs="宋体"/>
          <w:sz w:val="21"/>
          <w:szCs w:val="21"/>
          <w:highlight w:val="none"/>
        </w:rPr>
        <w:t>公司名称（盖章）：</w:t>
      </w:r>
      <w:r>
        <w:rPr>
          <w:rStyle w:val="27"/>
          <w:rFonts w:hint="eastAsia" w:ascii="宋体" w:hAnsi="宋体" w:eastAsia="宋体" w:cs="宋体"/>
          <w:sz w:val="21"/>
          <w:szCs w:val="21"/>
          <w:highlight w:val="none"/>
          <w:u w:val="single"/>
        </w:rPr>
        <w:t xml:space="preserve">      </w:t>
      </w:r>
    </w:p>
    <w:p w14:paraId="2BC5FEF0">
      <w:pPr>
        <w:adjustRightInd w:val="0"/>
        <w:snapToGrid w:val="0"/>
        <w:spacing w:line="400" w:lineRule="exact"/>
        <w:ind w:firstLine="420" w:firstLineChars="200"/>
        <w:jc w:val="right"/>
        <w:rPr>
          <w:rFonts w:ascii="宋体" w:hAnsi="宋体" w:cs="宋体"/>
          <w:color w:val="000000" w:themeColor="text1"/>
          <w:szCs w:val="24"/>
          <w:highlight w:val="none"/>
          <w14:textFill>
            <w14:solidFill>
              <w14:schemeClr w14:val="tx1"/>
            </w14:solidFill>
          </w14:textFill>
        </w:rPr>
      </w:pPr>
      <w:r>
        <w:rPr>
          <w:rStyle w:val="27"/>
          <w:rFonts w:hint="eastAsia" w:ascii="宋体" w:hAnsi="宋体" w:eastAsia="宋体" w:cs="宋体"/>
          <w:sz w:val="21"/>
          <w:szCs w:val="21"/>
          <w:highlight w:val="none"/>
          <w:u w:val="single"/>
        </w:rPr>
        <w:t xml:space="preserve">    </w:t>
      </w:r>
      <w:r>
        <w:rPr>
          <w:rStyle w:val="27"/>
          <w:rFonts w:hint="eastAsia" w:ascii="宋体" w:hAnsi="宋体" w:eastAsia="宋体" w:cs="宋体"/>
          <w:sz w:val="21"/>
          <w:szCs w:val="21"/>
          <w:highlight w:val="none"/>
        </w:rPr>
        <w:t>年</w:t>
      </w:r>
      <w:r>
        <w:rPr>
          <w:rStyle w:val="27"/>
          <w:rFonts w:hint="eastAsia" w:ascii="宋体" w:hAnsi="宋体" w:eastAsia="宋体" w:cs="宋体"/>
          <w:sz w:val="21"/>
          <w:szCs w:val="21"/>
          <w:highlight w:val="none"/>
          <w:u w:val="single"/>
        </w:rPr>
        <w:t xml:space="preserve">  </w:t>
      </w:r>
      <w:r>
        <w:rPr>
          <w:rStyle w:val="27"/>
          <w:rFonts w:hint="eastAsia" w:ascii="宋体" w:hAnsi="宋体" w:eastAsia="宋体" w:cs="宋体"/>
          <w:sz w:val="21"/>
          <w:szCs w:val="21"/>
          <w:highlight w:val="none"/>
        </w:rPr>
        <w:t>月</w:t>
      </w:r>
      <w:r>
        <w:rPr>
          <w:rStyle w:val="27"/>
          <w:rFonts w:hint="eastAsia" w:ascii="宋体" w:hAnsi="宋体" w:eastAsia="宋体" w:cs="宋体"/>
          <w:sz w:val="21"/>
          <w:szCs w:val="21"/>
          <w:highlight w:val="none"/>
          <w:u w:val="single"/>
        </w:rPr>
        <w:t xml:space="preserve">  </w:t>
      </w:r>
      <w:r>
        <w:rPr>
          <w:rStyle w:val="27"/>
          <w:rFonts w:hint="eastAsia" w:ascii="宋体" w:hAnsi="宋体" w:eastAsia="宋体" w:cs="宋体"/>
          <w:sz w:val="21"/>
          <w:szCs w:val="21"/>
          <w:highlight w:val="none"/>
        </w:rPr>
        <w:t>日</w:t>
      </w:r>
    </w:p>
    <w:p w14:paraId="0F3A670E">
      <w:pPr>
        <w:bidi w:val="0"/>
      </w:pPr>
    </w:p>
    <w:p w14:paraId="14A6550F">
      <w:pPr>
        <w:pStyle w:val="14"/>
        <w:rPr>
          <w:rFonts w:hint="default"/>
          <w:highlight w:val="none"/>
        </w:rPr>
        <w:sectPr>
          <w:pgSz w:w="11905" w:h="16838"/>
          <w:pgMar w:top="1134" w:right="1803" w:bottom="1134" w:left="1803" w:header="850" w:footer="992" w:gutter="0"/>
          <w:cols w:space="0" w:num="1"/>
          <w:docGrid w:type="lines" w:linePitch="317" w:charSpace="0"/>
        </w:sectPr>
      </w:pPr>
      <w:r>
        <w:rPr>
          <w:rFonts w:hint="eastAsia" w:ascii="宋体" w:hAnsi="宋体" w:cs="宋体"/>
          <w:kern w:val="0"/>
          <w:szCs w:val="21"/>
          <w:highlight w:val="none"/>
          <w:lang w:bidi="ar"/>
        </w:rPr>
        <w:t>为确保应答保证金及时准确退还，使用银行转账形式递交保证金的供应商须填写《应答保证金明细表》（</w:t>
      </w:r>
      <w:r>
        <w:rPr>
          <w:rFonts w:hint="eastAsia" w:ascii="宋体" w:hAnsi="宋体" w:cs="宋体"/>
          <w:b/>
          <w:bCs/>
          <w:kern w:val="0"/>
          <w:szCs w:val="21"/>
          <w:highlight w:val="none"/>
          <w:lang w:bidi="ar"/>
        </w:rPr>
        <w:t>盖章版及可编辑版</w:t>
      </w:r>
      <w:r>
        <w:rPr>
          <w:rFonts w:hint="eastAsia" w:ascii="宋体" w:hAnsi="宋体" w:cs="宋体"/>
          <w:kern w:val="0"/>
          <w:szCs w:val="21"/>
          <w:highlight w:val="none"/>
          <w:lang w:bidi="ar"/>
        </w:rPr>
        <w:t>）</w:t>
      </w:r>
      <w:r>
        <w:rPr>
          <w:rFonts w:hint="default" w:ascii="宋体" w:hAnsi="宋体" w:cs="宋体"/>
          <w:kern w:val="0"/>
          <w:szCs w:val="21"/>
          <w:highlight w:val="none"/>
          <w:lang w:bidi="ar"/>
        </w:rPr>
        <w:t>。</w:t>
      </w:r>
    </w:p>
    <w:p w14:paraId="4EF94DBC">
      <w:pPr>
        <w:adjustRightInd w:val="0"/>
        <w:snapToGrid w:val="0"/>
        <w:spacing w:line="400" w:lineRule="exact"/>
        <w:outlineLvl w:val="3"/>
        <w:rPr>
          <w:rFonts w:ascii="黑体" w:eastAsia="黑体"/>
          <w:b/>
          <w:color w:val="000000" w:themeColor="text1"/>
          <w:sz w:val="24"/>
          <w:szCs w:val="24"/>
          <w:highlight w:val="none"/>
          <w14:textFill>
            <w14:solidFill>
              <w14:schemeClr w14:val="tx1"/>
            </w14:solidFill>
          </w14:textFill>
        </w:rPr>
      </w:pPr>
      <w:r>
        <w:rPr>
          <w:rFonts w:hint="eastAsia" w:ascii="黑体" w:eastAsia="黑体"/>
          <w:b/>
          <w:color w:val="000000" w:themeColor="text1"/>
          <w:sz w:val="24"/>
          <w:szCs w:val="24"/>
          <w:highlight w:val="none"/>
          <w14:textFill>
            <w14:solidFill>
              <w14:schemeClr w14:val="tx1"/>
            </w14:solidFill>
          </w14:textFill>
        </w:rPr>
        <w:t>2.应答人基本情况表</w:t>
      </w:r>
    </w:p>
    <w:p w14:paraId="4744B6B7">
      <w:pPr>
        <w:spacing w:line="400" w:lineRule="exact"/>
        <w:jc w:val="center"/>
        <w:rPr>
          <w:rFonts w:eastAsia="黑体"/>
          <w:b/>
          <w:color w:val="000000" w:themeColor="text1"/>
          <w:sz w:val="28"/>
          <w:szCs w:val="28"/>
          <w:highlight w:val="none"/>
          <w14:textFill>
            <w14:solidFill>
              <w14:schemeClr w14:val="tx1"/>
            </w14:solidFill>
          </w14:textFill>
        </w:rPr>
      </w:pPr>
      <w:bookmarkStart w:id="119" w:name="_Toc28678"/>
      <w:bookmarkStart w:id="120" w:name="_Toc3428"/>
      <w:r>
        <w:rPr>
          <w:rFonts w:hint="eastAsia" w:eastAsia="黑体"/>
          <w:b/>
          <w:color w:val="000000" w:themeColor="text1"/>
          <w:sz w:val="28"/>
          <w:szCs w:val="28"/>
          <w:highlight w:val="none"/>
          <w14:textFill>
            <w14:solidFill>
              <w14:schemeClr w14:val="tx1"/>
            </w14:solidFill>
          </w14:textFill>
        </w:rPr>
        <w:t>应答人基本情况表</w:t>
      </w:r>
      <w:r>
        <w:rPr>
          <w:rFonts w:eastAsia="黑体"/>
          <w:b/>
          <w:color w:val="000000" w:themeColor="text1"/>
          <w:sz w:val="28"/>
          <w:szCs w:val="28"/>
          <w:highlight w:val="none"/>
          <w14:textFill>
            <w14:solidFill>
              <w14:schemeClr w14:val="tx1"/>
            </w14:solidFill>
          </w14:textFill>
        </w:rPr>
        <w:t>1</w:t>
      </w:r>
      <w:bookmarkEnd w:id="119"/>
      <w:bookmarkEnd w:id="120"/>
    </w:p>
    <w:tbl>
      <w:tblPr>
        <w:tblStyle w:val="16"/>
        <w:tblW w:w="4999" w:type="pct"/>
        <w:jc w:val="center"/>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Layout w:type="autofit"/>
        <w:tblCellMar>
          <w:top w:w="0" w:type="dxa"/>
          <w:left w:w="108" w:type="dxa"/>
          <w:bottom w:w="0" w:type="dxa"/>
          <w:right w:w="108" w:type="dxa"/>
        </w:tblCellMar>
      </w:tblPr>
      <w:tblGrid>
        <w:gridCol w:w="1659"/>
        <w:gridCol w:w="1389"/>
        <w:gridCol w:w="1027"/>
        <w:gridCol w:w="552"/>
        <w:gridCol w:w="344"/>
        <w:gridCol w:w="831"/>
        <w:gridCol w:w="225"/>
        <w:gridCol w:w="807"/>
        <w:gridCol w:w="637"/>
        <w:gridCol w:w="1042"/>
      </w:tblGrid>
      <w:tr w14:paraId="133255FA">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518EB1F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p>
        </w:tc>
        <w:tc>
          <w:tcPr>
            <w:tcW w:w="4024" w:type="pct"/>
            <w:gridSpan w:val="9"/>
            <w:tcBorders>
              <w:top w:val="single" w:color="auto" w:sz="4" w:space="0"/>
              <w:left w:val="single" w:color="000000" w:sz="4" w:space="0"/>
              <w:bottom w:val="single" w:color="auto" w:sz="4" w:space="0"/>
              <w:right w:val="single" w:color="000000" w:sz="8" w:space="0"/>
            </w:tcBorders>
            <w:vAlign w:val="center"/>
          </w:tcPr>
          <w:p w14:paraId="4BBC5B1A">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7E2DD83E">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66F547B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单位地址及邮编</w:t>
            </w:r>
          </w:p>
        </w:tc>
        <w:tc>
          <w:tcPr>
            <w:tcW w:w="4024" w:type="pct"/>
            <w:gridSpan w:val="9"/>
            <w:tcBorders>
              <w:top w:val="single" w:color="auto" w:sz="4" w:space="0"/>
              <w:left w:val="single" w:color="000000" w:sz="4" w:space="0"/>
              <w:bottom w:val="single" w:color="auto" w:sz="4" w:space="0"/>
              <w:right w:val="single" w:color="000000" w:sz="8" w:space="0"/>
            </w:tcBorders>
            <w:vAlign w:val="center"/>
          </w:tcPr>
          <w:p w14:paraId="66D4630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35F1EC14">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1A77696A">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主管部门</w:t>
            </w:r>
          </w:p>
        </w:tc>
        <w:tc>
          <w:tcPr>
            <w:tcW w:w="4024" w:type="pct"/>
            <w:gridSpan w:val="9"/>
            <w:tcBorders>
              <w:top w:val="single" w:color="auto" w:sz="4" w:space="0"/>
              <w:left w:val="single" w:color="000000" w:sz="4" w:space="0"/>
              <w:bottom w:val="single" w:color="auto" w:sz="4" w:space="0"/>
              <w:right w:val="single" w:color="000000" w:sz="8" w:space="0"/>
            </w:tcBorders>
            <w:vAlign w:val="center"/>
          </w:tcPr>
          <w:p w14:paraId="46FA2311">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14F9880F">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74F0F572">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成立时间</w:t>
            </w:r>
          </w:p>
        </w:tc>
        <w:tc>
          <w:tcPr>
            <w:tcW w:w="816" w:type="pct"/>
            <w:tcBorders>
              <w:top w:val="single" w:color="auto" w:sz="4" w:space="0"/>
              <w:left w:val="single" w:color="000000" w:sz="4" w:space="0"/>
              <w:bottom w:val="single" w:color="auto" w:sz="4" w:space="0"/>
              <w:right w:val="single" w:color="000000" w:sz="4" w:space="0"/>
            </w:tcBorders>
            <w:vAlign w:val="center"/>
          </w:tcPr>
          <w:p w14:paraId="0457D03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27" w:type="pct"/>
            <w:gridSpan w:val="2"/>
            <w:tcBorders>
              <w:top w:val="single" w:color="auto" w:sz="4" w:space="0"/>
              <w:left w:val="single" w:color="000000" w:sz="4" w:space="0"/>
              <w:bottom w:val="single" w:color="auto" w:sz="4" w:space="0"/>
              <w:right w:val="single" w:color="000000" w:sz="4" w:space="0"/>
            </w:tcBorders>
            <w:vAlign w:val="center"/>
          </w:tcPr>
          <w:p w14:paraId="7034CC9B">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批准部门</w:t>
            </w:r>
          </w:p>
        </w:tc>
        <w:tc>
          <w:tcPr>
            <w:tcW w:w="690" w:type="pct"/>
            <w:gridSpan w:val="2"/>
            <w:tcBorders>
              <w:top w:val="single" w:color="auto" w:sz="4" w:space="0"/>
              <w:left w:val="single" w:color="000000" w:sz="4" w:space="0"/>
              <w:bottom w:val="single" w:color="auto" w:sz="4" w:space="0"/>
              <w:right w:val="single" w:color="000000" w:sz="4" w:space="0"/>
            </w:tcBorders>
            <w:vAlign w:val="center"/>
          </w:tcPr>
          <w:p w14:paraId="4CB6644D">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80" w:type="pct"/>
            <w:gridSpan w:val="3"/>
            <w:tcBorders>
              <w:top w:val="single" w:color="auto" w:sz="4" w:space="0"/>
              <w:left w:val="single" w:color="000000" w:sz="4" w:space="0"/>
              <w:bottom w:val="single" w:color="auto" w:sz="4" w:space="0"/>
              <w:right w:val="single" w:color="000000" w:sz="4" w:space="0"/>
            </w:tcBorders>
            <w:vAlign w:val="center"/>
          </w:tcPr>
          <w:p w14:paraId="6B75C107">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批准文号</w:t>
            </w:r>
          </w:p>
        </w:tc>
        <w:tc>
          <w:tcPr>
            <w:tcW w:w="609" w:type="pct"/>
            <w:tcBorders>
              <w:top w:val="single" w:color="auto" w:sz="4" w:space="0"/>
              <w:left w:val="single" w:color="000000" w:sz="4" w:space="0"/>
              <w:bottom w:val="single" w:color="auto" w:sz="4" w:space="0"/>
              <w:right w:val="single" w:color="000000" w:sz="8" w:space="0"/>
            </w:tcBorders>
            <w:vAlign w:val="center"/>
          </w:tcPr>
          <w:p w14:paraId="794101F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42D808AE">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61E6E24F">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统一社会信用代码</w:t>
            </w:r>
          </w:p>
        </w:tc>
        <w:tc>
          <w:tcPr>
            <w:tcW w:w="816" w:type="pct"/>
            <w:tcBorders>
              <w:top w:val="single" w:color="auto" w:sz="4" w:space="0"/>
              <w:left w:val="single" w:color="000000" w:sz="4" w:space="0"/>
              <w:bottom w:val="single" w:color="auto" w:sz="4" w:space="0"/>
              <w:right w:val="single" w:color="000000" w:sz="4" w:space="0"/>
            </w:tcBorders>
            <w:vAlign w:val="center"/>
          </w:tcPr>
          <w:p w14:paraId="605FD4D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27" w:type="pct"/>
            <w:gridSpan w:val="2"/>
            <w:tcBorders>
              <w:top w:val="single" w:color="auto" w:sz="4" w:space="0"/>
              <w:left w:val="single" w:color="000000" w:sz="4" w:space="0"/>
              <w:bottom w:val="single" w:color="auto" w:sz="4" w:space="0"/>
              <w:right w:val="single" w:color="000000" w:sz="4" w:space="0"/>
            </w:tcBorders>
            <w:vAlign w:val="center"/>
          </w:tcPr>
          <w:p w14:paraId="02C7A836">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企业资质等级</w:t>
            </w:r>
          </w:p>
        </w:tc>
        <w:tc>
          <w:tcPr>
            <w:tcW w:w="690" w:type="pct"/>
            <w:gridSpan w:val="2"/>
            <w:tcBorders>
              <w:top w:val="single" w:color="auto" w:sz="4" w:space="0"/>
              <w:left w:val="single" w:color="000000" w:sz="4" w:space="0"/>
              <w:bottom w:val="single" w:color="auto" w:sz="4" w:space="0"/>
              <w:right w:val="single" w:color="000000" w:sz="4" w:space="0"/>
            </w:tcBorders>
            <w:vAlign w:val="center"/>
          </w:tcPr>
          <w:p w14:paraId="531BD6D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80" w:type="pct"/>
            <w:gridSpan w:val="3"/>
            <w:tcBorders>
              <w:top w:val="single" w:color="auto" w:sz="4" w:space="0"/>
              <w:left w:val="single" w:color="000000" w:sz="4" w:space="0"/>
              <w:bottom w:val="single" w:color="auto" w:sz="4" w:space="0"/>
              <w:right w:val="single" w:color="000000" w:sz="4" w:space="0"/>
            </w:tcBorders>
            <w:vAlign w:val="center"/>
          </w:tcPr>
          <w:p w14:paraId="395D875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注册资金（万元）</w:t>
            </w:r>
          </w:p>
        </w:tc>
        <w:tc>
          <w:tcPr>
            <w:tcW w:w="609" w:type="pct"/>
            <w:tcBorders>
              <w:top w:val="single" w:color="auto" w:sz="4" w:space="0"/>
              <w:left w:val="single" w:color="000000" w:sz="4" w:space="0"/>
              <w:bottom w:val="single" w:color="auto" w:sz="4" w:space="0"/>
              <w:right w:val="single" w:color="000000" w:sz="8" w:space="0"/>
            </w:tcBorders>
            <w:vAlign w:val="center"/>
          </w:tcPr>
          <w:p w14:paraId="435C232B">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1DBDCF6B">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3E7D7AFB">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单位性质</w:t>
            </w:r>
          </w:p>
        </w:tc>
        <w:tc>
          <w:tcPr>
            <w:tcW w:w="816" w:type="pct"/>
            <w:tcBorders>
              <w:top w:val="single" w:color="auto" w:sz="4" w:space="0"/>
              <w:left w:val="single" w:color="000000" w:sz="4" w:space="0"/>
              <w:bottom w:val="single" w:color="auto" w:sz="4" w:space="0"/>
              <w:right w:val="single" w:color="000000" w:sz="4" w:space="0"/>
            </w:tcBorders>
            <w:vAlign w:val="center"/>
          </w:tcPr>
          <w:p w14:paraId="0083538D">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27" w:type="pct"/>
            <w:gridSpan w:val="2"/>
            <w:tcBorders>
              <w:top w:val="single" w:color="auto" w:sz="4" w:space="0"/>
              <w:left w:val="single" w:color="000000" w:sz="4" w:space="0"/>
              <w:bottom w:val="single" w:color="auto" w:sz="4" w:space="0"/>
              <w:right w:val="single" w:color="000000" w:sz="4" w:space="0"/>
            </w:tcBorders>
            <w:vAlign w:val="center"/>
          </w:tcPr>
          <w:p w14:paraId="2DD1946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开户银行及账号</w:t>
            </w:r>
          </w:p>
        </w:tc>
        <w:tc>
          <w:tcPr>
            <w:tcW w:w="2280" w:type="pct"/>
            <w:gridSpan w:val="6"/>
            <w:tcBorders>
              <w:top w:val="single" w:color="auto" w:sz="4" w:space="0"/>
              <w:left w:val="single" w:color="000000" w:sz="4" w:space="0"/>
              <w:bottom w:val="single" w:color="auto" w:sz="4" w:space="0"/>
              <w:right w:val="single" w:color="000000" w:sz="8" w:space="0"/>
            </w:tcBorders>
            <w:vAlign w:val="center"/>
          </w:tcPr>
          <w:p w14:paraId="4B2EADA2">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068BF30C">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3FB0B26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经营范围</w:t>
            </w:r>
          </w:p>
        </w:tc>
        <w:tc>
          <w:tcPr>
            <w:tcW w:w="4024" w:type="pct"/>
            <w:gridSpan w:val="9"/>
            <w:tcBorders>
              <w:top w:val="single" w:color="auto" w:sz="4" w:space="0"/>
              <w:left w:val="single" w:color="000000" w:sz="4" w:space="0"/>
              <w:bottom w:val="single" w:color="auto" w:sz="4" w:space="0"/>
              <w:right w:val="single" w:color="000000" w:sz="8" w:space="0"/>
            </w:tcBorders>
            <w:vAlign w:val="center"/>
          </w:tcPr>
          <w:p w14:paraId="46A256D4">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0DB0B8F3">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2248BB39">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p>
        </w:tc>
        <w:tc>
          <w:tcPr>
            <w:tcW w:w="816" w:type="pct"/>
            <w:tcBorders>
              <w:top w:val="single" w:color="auto" w:sz="4" w:space="0"/>
              <w:left w:val="single" w:color="000000" w:sz="4" w:space="0"/>
              <w:bottom w:val="single" w:color="auto" w:sz="4" w:space="0"/>
              <w:right w:val="single" w:color="000000" w:sz="4" w:space="0"/>
            </w:tcBorders>
            <w:vAlign w:val="center"/>
          </w:tcPr>
          <w:p w14:paraId="382363B1">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27" w:type="pct"/>
            <w:gridSpan w:val="2"/>
            <w:tcBorders>
              <w:top w:val="single" w:color="auto" w:sz="4" w:space="0"/>
              <w:left w:val="single" w:color="000000" w:sz="4" w:space="0"/>
              <w:bottom w:val="single" w:color="auto" w:sz="4" w:space="0"/>
              <w:right w:val="single" w:color="000000" w:sz="4" w:space="0"/>
            </w:tcBorders>
            <w:vAlign w:val="center"/>
          </w:tcPr>
          <w:p w14:paraId="52A3D3D7">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2280" w:type="pct"/>
            <w:gridSpan w:val="6"/>
            <w:tcBorders>
              <w:top w:val="single" w:color="auto" w:sz="4" w:space="0"/>
              <w:left w:val="single" w:color="000000" w:sz="4" w:space="0"/>
              <w:bottom w:val="single" w:color="auto" w:sz="4" w:space="0"/>
              <w:right w:val="single" w:color="000000" w:sz="8" w:space="0"/>
            </w:tcBorders>
            <w:vAlign w:val="center"/>
          </w:tcPr>
          <w:p w14:paraId="311EEB94">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2E5DB51F">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975" w:type="pct"/>
            <w:tcBorders>
              <w:top w:val="single" w:color="auto" w:sz="4" w:space="0"/>
              <w:left w:val="single" w:color="000000" w:sz="8" w:space="0"/>
              <w:bottom w:val="single" w:color="auto" w:sz="4" w:space="0"/>
              <w:right w:val="single" w:color="000000" w:sz="4" w:space="0"/>
            </w:tcBorders>
            <w:vAlign w:val="center"/>
          </w:tcPr>
          <w:p w14:paraId="7D5AE14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E-mail</w:t>
            </w:r>
          </w:p>
        </w:tc>
        <w:tc>
          <w:tcPr>
            <w:tcW w:w="816" w:type="pct"/>
            <w:tcBorders>
              <w:top w:val="single" w:color="auto" w:sz="4" w:space="0"/>
              <w:left w:val="single" w:color="000000" w:sz="4" w:space="0"/>
              <w:bottom w:val="single" w:color="auto" w:sz="4" w:space="0"/>
              <w:right w:val="single" w:color="000000" w:sz="4" w:space="0"/>
            </w:tcBorders>
            <w:vAlign w:val="center"/>
          </w:tcPr>
          <w:p w14:paraId="215C5DA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27" w:type="pct"/>
            <w:gridSpan w:val="2"/>
            <w:tcBorders>
              <w:top w:val="single" w:color="auto" w:sz="4" w:space="0"/>
              <w:left w:val="single" w:color="000000" w:sz="4" w:space="0"/>
              <w:bottom w:val="single" w:color="auto" w:sz="4" w:space="0"/>
              <w:right w:val="single" w:color="000000" w:sz="4" w:space="0"/>
            </w:tcBorders>
            <w:vAlign w:val="center"/>
          </w:tcPr>
          <w:p w14:paraId="1BC2FFF7">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p>
        </w:tc>
        <w:tc>
          <w:tcPr>
            <w:tcW w:w="2280" w:type="pct"/>
            <w:gridSpan w:val="6"/>
            <w:tcBorders>
              <w:top w:val="single" w:color="auto" w:sz="4" w:space="0"/>
              <w:left w:val="single" w:color="000000" w:sz="4" w:space="0"/>
              <w:bottom w:val="single" w:color="auto" w:sz="4" w:space="0"/>
              <w:right w:val="single" w:color="000000" w:sz="8" w:space="0"/>
            </w:tcBorders>
            <w:vAlign w:val="center"/>
          </w:tcPr>
          <w:p w14:paraId="36B6D511">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083203B8">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restart"/>
            <w:tcBorders>
              <w:top w:val="single" w:color="auto" w:sz="4" w:space="0"/>
              <w:left w:val="single" w:color="000000" w:sz="8" w:space="0"/>
              <w:bottom w:val="single" w:color="auto" w:sz="4" w:space="0"/>
              <w:right w:val="single" w:color="000000" w:sz="4" w:space="0"/>
            </w:tcBorders>
            <w:vAlign w:val="center"/>
          </w:tcPr>
          <w:p w14:paraId="73A1A815">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w:t>
            </w:r>
          </w:p>
          <w:p w14:paraId="7A124E8F">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w:t>
            </w:r>
          </w:p>
          <w:p w14:paraId="71F068B2">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概</w:t>
            </w:r>
          </w:p>
          <w:p w14:paraId="05DB5E9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况</w:t>
            </w:r>
          </w:p>
        </w:tc>
        <w:tc>
          <w:tcPr>
            <w:tcW w:w="816" w:type="pct"/>
            <w:tcBorders>
              <w:top w:val="single" w:color="auto" w:sz="4" w:space="0"/>
              <w:left w:val="single" w:color="000000" w:sz="4" w:space="0"/>
              <w:bottom w:val="single" w:color="auto" w:sz="4" w:space="0"/>
              <w:right w:val="single" w:color="000000" w:sz="4" w:space="0"/>
            </w:tcBorders>
            <w:vAlign w:val="center"/>
          </w:tcPr>
          <w:p w14:paraId="3A49199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员工总数</w:t>
            </w:r>
          </w:p>
        </w:tc>
        <w:tc>
          <w:tcPr>
            <w:tcW w:w="603" w:type="pct"/>
            <w:tcBorders>
              <w:top w:val="single" w:color="auto" w:sz="4" w:space="0"/>
              <w:left w:val="single" w:color="000000" w:sz="4" w:space="0"/>
              <w:bottom w:val="single" w:color="auto" w:sz="4" w:space="0"/>
              <w:right w:val="single" w:color="000000" w:sz="4" w:space="0"/>
            </w:tcBorders>
            <w:vAlign w:val="center"/>
          </w:tcPr>
          <w:p w14:paraId="7A54C74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46" w:type="pct"/>
            <w:gridSpan w:val="4"/>
            <w:tcBorders>
              <w:top w:val="single" w:color="auto" w:sz="4" w:space="0"/>
              <w:left w:val="single" w:color="000000" w:sz="4" w:space="0"/>
              <w:bottom w:val="single" w:color="auto" w:sz="4" w:space="0"/>
              <w:right w:val="single" w:color="000000" w:sz="4" w:space="0"/>
            </w:tcBorders>
            <w:vAlign w:val="center"/>
          </w:tcPr>
          <w:p w14:paraId="0707CBDA">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其中：技术人员数</w:t>
            </w:r>
          </w:p>
        </w:tc>
        <w:tc>
          <w:tcPr>
            <w:tcW w:w="848" w:type="pct"/>
            <w:gridSpan w:val="2"/>
            <w:tcBorders>
              <w:top w:val="single" w:color="auto" w:sz="4" w:space="0"/>
              <w:left w:val="single" w:color="000000" w:sz="4" w:space="0"/>
              <w:bottom w:val="single" w:color="auto" w:sz="4" w:space="0"/>
              <w:right w:val="single" w:color="000000" w:sz="4" w:space="0"/>
            </w:tcBorders>
            <w:vAlign w:val="center"/>
          </w:tcPr>
          <w:p w14:paraId="64AB9745">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609" w:type="pct"/>
            <w:tcBorders>
              <w:top w:val="single" w:color="auto" w:sz="4" w:space="0"/>
              <w:left w:val="single" w:color="000000" w:sz="4" w:space="0"/>
              <w:bottom w:val="single" w:color="auto" w:sz="4" w:space="0"/>
              <w:right w:val="single" w:color="000000" w:sz="8" w:space="0"/>
            </w:tcBorders>
            <w:vAlign w:val="center"/>
          </w:tcPr>
          <w:p w14:paraId="1CD373D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5D784559">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7857E95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39703D5A">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高级工程师</w:t>
            </w:r>
          </w:p>
        </w:tc>
        <w:tc>
          <w:tcPr>
            <w:tcW w:w="603" w:type="pct"/>
            <w:tcBorders>
              <w:top w:val="single" w:color="auto" w:sz="4" w:space="0"/>
              <w:left w:val="single" w:color="000000" w:sz="4" w:space="0"/>
              <w:bottom w:val="single" w:color="auto" w:sz="4" w:space="0"/>
              <w:right w:val="single" w:color="000000" w:sz="4" w:space="0"/>
            </w:tcBorders>
            <w:vAlign w:val="center"/>
          </w:tcPr>
          <w:p w14:paraId="3B833C4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46" w:type="pct"/>
            <w:gridSpan w:val="4"/>
            <w:tcBorders>
              <w:top w:val="single" w:color="auto" w:sz="4" w:space="0"/>
              <w:left w:val="single" w:color="000000" w:sz="4" w:space="0"/>
              <w:bottom w:val="single" w:color="auto" w:sz="4" w:space="0"/>
              <w:right w:val="single" w:color="000000" w:sz="4" w:space="0"/>
            </w:tcBorders>
            <w:vAlign w:val="center"/>
          </w:tcPr>
          <w:p w14:paraId="5550E302">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工程师</w:t>
            </w:r>
          </w:p>
        </w:tc>
        <w:tc>
          <w:tcPr>
            <w:tcW w:w="848" w:type="pct"/>
            <w:gridSpan w:val="2"/>
            <w:tcBorders>
              <w:top w:val="single" w:color="auto" w:sz="4" w:space="0"/>
              <w:left w:val="single" w:color="000000" w:sz="4" w:space="0"/>
              <w:bottom w:val="single" w:color="auto" w:sz="4" w:space="0"/>
              <w:right w:val="single" w:color="000000" w:sz="4" w:space="0"/>
            </w:tcBorders>
            <w:vAlign w:val="center"/>
          </w:tcPr>
          <w:p w14:paraId="715D9E1B">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609" w:type="pct"/>
            <w:tcBorders>
              <w:top w:val="single" w:color="auto" w:sz="4" w:space="0"/>
              <w:left w:val="single" w:color="000000" w:sz="4" w:space="0"/>
              <w:bottom w:val="single" w:color="auto" w:sz="4" w:space="0"/>
              <w:right w:val="single" w:color="000000" w:sz="8" w:space="0"/>
            </w:tcBorders>
            <w:vAlign w:val="center"/>
          </w:tcPr>
          <w:p w14:paraId="1C015DF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6CA15089">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35CC20B9">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02BF802D">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助理工程师</w:t>
            </w:r>
          </w:p>
        </w:tc>
        <w:tc>
          <w:tcPr>
            <w:tcW w:w="603" w:type="pct"/>
            <w:tcBorders>
              <w:top w:val="single" w:color="auto" w:sz="4" w:space="0"/>
              <w:left w:val="single" w:color="000000" w:sz="4" w:space="0"/>
              <w:bottom w:val="single" w:color="auto" w:sz="4" w:space="0"/>
              <w:right w:val="single" w:color="000000" w:sz="4" w:space="0"/>
            </w:tcBorders>
            <w:vAlign w:val="center"/>
          </w:tcPr>
          <w:p w14:paraId="7A7852E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46" w:type="pct"/>
            <w:gridSpan w:val="4"/>
            <w:tcBorders>
              <w:top w:val="single" w:color="auto" w:sz="4" w:space="0"/>
              <w:left w:val="single" w:color="000000" w:sz="4" w:space="0"/>
              <w:bottom w:val="single" w:color="auto" w:sz="4" w:space="0"/>
              <w:right w:val="single" w:color="000000" w:sz="4" w:space="0"/>
            </w:tcBorders>
            <w:vAlign w:val="center"/>
          </w:tcPr>
          <w:p w14:paraId="4C7635F2">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技术员</w:t>
            </w:r>
          </w:p>
        </w:tc>
        <w:tc>
          <w:tcPr>
            <w:tcW w:w="848" w:type="pct"/>
            <w:gridSpan w:val="2"/>
            <w:tcBorders>
              <w:top w:val="single" w:color="auto" w:sz="4" w:space="0"/>
              <w:left w:val="single" w:color="000000" w:sz="4" w:space="0"/>
              <w:bottom w:val="single" w:color="auto" w:sz="4" w:space="0"/>
              <w:right w:val="single" w:color="000000" w:sz="4" w:space="0"/>
            </w:tcBorders>
            <w:vAlign w:val="center"/>
          </w:tcPr>
          <w:p w14:paraId="4EA6934B">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609" w:type="pct"/>
            <w:tcBorders>
              <w:top w:val="single" w:color="auto" w:sz="4" w:space="0"/>
              <w:left w:val="single" w:color="000000" w:sz="4" w:space="0"/>
              <w:bottom w:val="single" w:color="auto" w:sz="4" w:space="0"/>
              <w:right w:val="single" w:color="000000" w:sz="8" w:space="0"/>
            </w:tcBorders>
            <w:vAlign w:val="center"/>
          </w:tcPr>
          <w:p w14:paraId="5B5D47F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72D8B2A6">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4AF1B4F4">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4024" w:type="pct"/>
            <w:gridSpan w:val="9"/>
            <w:tcBorders>
              <w:top w:val="single" w:color="auto" w:sz="4" w:space="0"/>
              <w:left w:val="single" w:color="000000" w:sz="4" w:space="0"/>
              <w:bottom w:val="single" w:color="auto" w:sz="4" w:space="0"/>
              <w:right w:val="single" w:color="000000" w:sz="8" w:space="0"/>
            </w:tcBorders>
            <w:vAlign w:val="center"/>
          </w:tcPr>
          <w:p w14:paraId="75688C84">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单位行政和技术负责人</w:t>
            </w:r>
          </w:p>
        </w:tc>
      </w:tr>
      <w:tr w14:paraId="03DF5037">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309AA151">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53A1642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129" w:type="pct"/>
            <w:gridSpan w:val="3"/>
            <w:tcBorders>
              <w:top w:val="single" w:color="auto" w:sz="4" w:space="0"/>
              <w:left w:val="single" w:color="000000" w:sz="4" w:space="0"/>
              <w:bottom w:val="single" w:color="auto" w:sz="4" w:space="0"/>
              <w:right w:val="single" w:color="000000" w:sz="4" w:space="0"/>
            </w:tcBorders>
            <w:vAlign w:val="center"/>
          </w:tcPr>
          <w:p w14:paraId="7AC1CB93">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职务及职称</w:t>
            </w:r>
          </w:p>
        </w:tc>
        <w:tc>
          <w:tcPr>
            <w:tcW w:w="1094" w:type="pct"/>
            <w:gridSpan w:val="3"/>
            <w:tcBorders>
              <w:top w:val="single" w:color="auto" w:sz="4" w:space="0"/>
              <w:left w:val="single" w:color="000000" w:sz="4" w:space="0"/>
              <w:bottom w:val="single" w:color="auto" w:sz="4" w:space="0"/>
              <w:right w:val="single" w:color="000000" w:sz="4" w:space="0"/>
            </w:tcBorders>
            <w:vAlign w:val="center"/>
          </w:tcPr>
          <w:p w14:paraId="0B3BDB4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年龄</w:t>
            </w:r>
          </w:p>
        </w:tc>
        <w:tc>
          <w:tcPr>
            <w:tcW w:w="983" w:type="pct"/>
            <w:gridSpan w:val="2"/>
            <w:tcBorders>
              <w:top w:val="single" w:color="auto" w:sz="4" w:space="0"/>
              <w:left w:val="single" w:color="000000" w:sz="4" w:space="0"/>
              <w:bottom w:val="single" w:color="auto" w:sz="4" w:space="0"/>
              <w:right w:val="single" w:color="000000" w:sz="8" w:space="0"/>
            </w:tcBorders>
            <w:vAlign w:val="center"/>
          </w:tcPr>
          <w:p w14:paraId="46811113">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w:t>
            </w:r>
          </w:p>
        </w:tc>
      </w:tr>
      <w:tr w14:paraId="3B649317">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3F9BBC69">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77A07AA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29" w:type="pct"/>
            <w:gridSpan w:val="3"/>
            <w:tcBorders>
              <w:top w:val="single" w:color="auto" w:sz="4" w:space="0"/>
              <w:left w:val="single" w:color="000000" w:sz="4" w:space="0"/>
              <w:bottom w:val="single" w:color="auto" w:sz="4" w:space="0"/>
              <w:right w:val="single" w:color="000000" w:sz="4" w:space="0"/>
            </w:tcBorders>
            <w:vAlign w:val="center"/>
          </w:tcPr>
          <w:p w14:paraId="6895133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094" w:type="pct"/>
            <w:gridSpan w:val="3"/>
            <w:tcBorders>
              <w:top w:val="single" w:color="auto" w:sz="4" w:space="0"/>
              <w:left w:val="single" w:color="000000" w:sz="4" w:space="0"/>
              <w:bottom w:val="single" w:color="auto" w:sz="4" w:space="0"/>
              <w:right w:val="single" w:color="000000" w:sz="4" w:space="0"/>
            </w:tcBorders>
            <w:vAlign w:val="center"/>
          </w:tcPr>
          <w:p w14:paraId="1FCF8B79">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83" w:type="pct"/>
            <w:gridSpan w:val="2"/>
            <w:tcBorders>
              <w:top w:val="single" w:color="auto" w:sz="4" w:space="0"/>
              <w:left w:val="single" w:color="000000" w:sz="4" w:space="0"/>
              <w:bottom w:val="single" w:color="auto" w:sz="4" w:space="0"/>
              <w:right w:val="single" w:color="000000" w:sz="8" w:space="0"/>
            </w:tcBorders>
            <w:vAlign w:val="center"/>
          </w:tcPr>
          <w:p w14:paraId="0B15C45A">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5FDBB9AE">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5723067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4430655D">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29" w:type="pct"/>
            <w:gridSpan w:val="3"/>
            <w:tcBorders>
              <w:top w:val="single" w:color="auto" w:sz="4" w:space="0"/>
              <w:left w:val="single" w:color="000000" w:sz="4" w:space="0"/>
              <w:bottom w:val="single" w:color="auto" w:sz="4" w:space="0"/>
              <w:right w:val="single" w:color="000000" w:sz="4" w:space="0"/>
            </w:tcBorders>
            <w:vAlign w:val="center"/>
          </w:tcPr>
          <w:p w14:paraId="1B6852BD">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094" w:type="pct"/>
            <w:gridSpan w:val="3"/>
            <w:tcBorders>
              <w:top w:val="single" w:color="auto" w:sz="4" w:space="0"/>
              <w:left w:val="single" w:color="000000" w:sz="4" w:space="0"/>
              <w:bottom w:val="single" w:color="auto" w:sz="4" w:space="0"/>
              <w:right w:val="single" w:color="000000" w:sz="4" w:space="0"/>
            </w:tcBorders>
            <w:vAlign w:val="center"/>
          </w:tcPr>
          <w:p w14:paraId="78E191A3">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83" w:type="pct"/>
            <w:gridSpan w:val="2"/>
            <w:tcBorders>
              <w:top w:val="single" w:color="auto" w:sz="4" w:space="0"/>
              <w:left w:val="single" w:color="000000" w:sz="4" w:space="0"/>
              <w:bottom w:val="single" w:color="auto" w:sz="4" w:space="0"/>
              <w:right w:val="single" w:color="000000" w:sz="8" w:space="0"/>
            </w:tcBorders>
            <w:vAlign w:val="center"/>
          </w:tcPr>
          <w:p w14:paraId="2174654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1B259126">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1F540B1A">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035DA42B">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29" w:type="pct"/>
            <w:gridSpan w:val="3"/>
            <w:tcBorders>
              <w:top w:val="single" w:color="auto" w:sz="4" w:space="0"/>
              <w:left w:val="single" w:color="000000" w:sz="4" w:space="0"/>
              <w:bottom w:val="single" w:color="auto" w:sz="4" w:space="0"/>
              <w:right w:val="single" w:color="000000" w:sz="4" w:space="0"/>
            </w:tcBorders>
            <w:vAlign w:val="center"/>
          </w:tcPr>
          <w:p w14:paraId="6DDF91C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094" w:type="pct"/>
            <w:gridSpan w:val="3"/>
            <w:tcBorders>
              <w:top w:val="single" w:color="auto" w:sz="4" w:space="0"/>
              <w:left w:val="single" w:color="000000" w:sz="4" w:space="0"/>
              <w:bottom w:val="single" w:color="auto" w:sz="4" w:space="0"/>
              <w:right w:val="single" w:color="000000" w:sz="4" w:space="0"/>
            </w:tcBorders>
            <w:vAlign w:val="center"/>
          </w:tcPr>
          <w:p w14:paraId="4C1F73E4">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83" w:type="pct"/>
            <w:gridSpan w:val="2"/>
            <w:tcBorders>
              <w:top w:val="single" w:color="auto" w:sz="4" w:space="0"/>
              <w:left w:val="single" w:color="000000" w:sz="4" w:space="0"/>
              <w:bottom w:val="single" w:color="auto" w:sz="4" w:space="0"/>
              <w:right w:val="single" w:color="000000" w:sz="8" w:space="0"/>
            </w:tcBorders>
            <w:vAlign w:val="center"/>
          </w:tcPr>
          <w:p w14:paraId="46CA4C25">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0106D139">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24DCABF9">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79FE10EE">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29" w:type="pct"/>
            <w:gridSpan w:val="3"/>
            <w:tcBorders>
              <w:top w:val="single" w:color="auto" w:sz="4" w:space="0"/>
              <w:left w:val="single" w:color="000000" w:sz="4" w:space="0"/>
              <w:bottom w:val="single" w:color="auto" w:sz="4" w:space="0"/>
              <w:right w:val="single" w:color="000000" w:sz="4" w:space="0"/>
            </w:tcBorders>
            <w:vAlign w:val="center"/>
          </w:tcPr>
          <w:p w14:paraId="5BF86FB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094" w:type="pct"/>
            <w:gridSpan w:val="3"/>
            <w:tcBorders>
              <w:top w:val="single" w:color="auto" w:sz="4" w:space="0"/>
              <w:left w:val="single" w:color="000000" w:sz="4" w:space="0"/>
              <w:bottom w:val="single" w:color="auto" w:sz="4" w:space="0"/>
              <w:right w:val="single" w:color="000000" w:sz="4" w:space="0"/>
            </w:tcBorders>
            <w:vAlign w:val="center"/>
          </w:tcPr>
          <w:p w14:paraId="7F57D6D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83" w:type="pct"/>
            <w:gridSpan w:val="2"/>
            <w:tcBorders>
              <w:top w:val="single" w:color="auto" w:sz="4" w:space="0"/>
              <w:left w:val="single" w:color="000000" w:sz="4" w:space="0"/>
              <w:bottom w:val="single" w:color="auto" w:sz="4" w:space="0"/>
              <w:right w:val="single" w:color="000000" w:sz="8" w:space="0"/>
            </w:tcBorders>
            <w:vAlign w:val="center"/>
          </w:tcPr>
          <w:p w14:paraId="7BF4517D">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3DD1C55A">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975" w:type="pct"/>
            <w:vMerge w:val="continue"/>
            <w:tcBorders>
              <w:top w:val="single" w:color="auto" w:sz="4" w:space="0"/>
              <w:left w:val="single" w:color="000000" w:sz="8" w:space="0"/>
              <w:bottom w:val="single" w:color="auto" w:sz="4" w:space="0"/>
              <w:right w:val="single" w:color="000000" w:sz="4" w:space="0"/>
            </w:tcBorders>
            <w:vAlign w:val="center"/>
          </w:tcPr>
          <w:p w14:paraId="0EF336B5">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816" w:type="pct"/>
            <w:tcBorders>
              <w:top w:val="single" w:color="auto" w:sz="4" w:space="0"/>
              <w:left w:val="single" w:color="000000" w:sz="4" w:space="0"/>
              <w:bottom w:val="single" w:color="auto" w:sz="4" w:space="0"/>
              <w:right w:val="single" w:color="000000" w:sz="4" w:space="0"/>
            </w:tcBorders>
            <w:vAlign w:val="center"/>
          </w:tcPr>
          <w:p w14:paraId="037B65B1">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129" w:type="pct"/>
            <w:gridSpan w:val="3"/>
            <w:tcBorders>
              <w:top w:val="single" w:color="auto" w:sz="4" w:space="0"/>
              <w:left w:val="single" w:color="000000" w:sz="4" w:space="0"/>
              <w:bottom w:val="single" w:color="auto" w:sz="4" w:space="0"/>
              <w:right w:val="single" w:color="000000" w:sz="4" w:space="0"/>
            </w:tcBorders>
            <w:vAlign w:val="center"/>
          </w:tcPr>
          <w:p w14:paraId="195FB997">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1094" w:type="pct"/>
            <w:gridSpan w:val="3"/>
            <w:tcBorders>
              <w:top w:val="single" w:color="auto" w:sz="4" w:space="0"/>
              <w:left w:val="single" w:color="000000" w:sz="4" w:space="0"/>
              <w:bottom w:val="single" w:color="auto" w:sz="4" w:space="0"/>
              <w:right w:val="single" w:color="000000" w:sz="4" w:space="0"/>
            </w:tcBorders>
            <w:vAlign w:val="center"/>
          </w:tcPr>
          <w:p w14:paraId="2759C9CF">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c>
          <w:tcPr>
            <w:tcW w:w="983" w:type="pct"/>
            <w:gridSpan w:val="2"/>
            <w:tcBorders>
              <w:top w:val="single" w:color="auto" w:sz="4" w:space="0"/>
              <w:left w:val="single" w:color="000000" w:sz="4" w:space="0"/>
              <w:bottom w:val="single" w:color="auto" w:sz="4" w:space="0"/>
              <w:right w:val="single" w:color="000000" w:sz="8" w:space="0"/>
            </w:tcBorders>
            <w:vAlign w:val="center"/>
          </w:tcPr>
          <w:p w14:paraId="12F8AEA8">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r w14:paraId="461B79B0">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jc w:val="center"/>
        </w:trPr>
        <w:tc>
          <w:tcPr>
            <w:tcW w:w="5000" w:type="pct"/>
            <w:gridSpan w:val="10"/>
            <w:tcBorders>
              <w:top w:val="single" w:color="auto" w:sz="4" w:space="0"/>
              <w:left w:val="single" w:color="000000" w:sz="8" w:space="0"/>
              <w:bottom w:val="single" w:color="000000" w:sz="8" w:space="0"/>
              <w:right w:val="single" w:color="000000" w:sz="8" w:space="0"/>
            </w:tcBorders>
            <w:vAlign w:val="center"/>
          </w:tcPr>
          <w:p w14:paraId="3C88F500">
            <w:pPr>
              <w:widowControl/>
              <w:adjustRightInd w:val="0"/>
              <w:snapToGrid w:val="0"/>
              <w:spacing w:line="240" w:lineRule="atLeas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单位概况：</w:t>
            </w:r>
          </w:p>
          <w:p w14:paraId="03A6C026">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p w14:paraId="24F5F56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p w14:paraId="40E8E810">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p w14:paraId="7FBD18EC">
            <w:pPr>
              <w:widowControl/>
              <w:adjustRightInd w:val="0"/>
              <w:snapToGrid w:val="0"/>
              <w:spacing w:line="240" w:lineRule="atLeast"/>
              <w:jc w:val="center"/>
              <w:rPr>
                <w:rFonts w:ascii="宋体" w:hAnsi="宋体"/>
                <w:color w:val="000000" w:themeColor="text1"/>
                <w:szCs w:val="21"/>
                <w:highlight w:val="none"/>
                <w14:textFill>
                  <w14:solidFill>
                    <w14:schemeClr w14:val="tx1"/>
                  </w14:solidFill>
                </w14:textFill>
              </w:rPr>
            </w:pPr>
          </w:p>
        </w:tc>
      </w:tr>
    </w:tbl>
    <w:p w14:paraId="6A7BB8F1">
      <w:pPr>
        <w:spacing w:line="440" w:lineRule="exact"/>
        <w:ind w:firstLine="420"/>
        <w:jc w:val="left"/>
        <w:rPr>
          <w:rFonts w:ascii="宋体" w:hAnsi="宋体"/>
          <w:b/>
          <w:color w:val="000000" w:themeColor="text1"/>
          <w:szCs w:val="21"/>
          <w:highlight w:val="none"/>
          <w14:textFill>
            <w14:solidFill>
              <w14:schemeClr w14:val="tx1"/>
            </w14:solidFill>
          </w14:textFill>
        </w:rPr>
      </w:pPr>
    </w:p>
    <w:p w14:paraId="43EBA0B0">
      <w:pPr>
        <w:spacing w:line="400" w:lineRule="exact"/>
        <w:jc w:val="center"/>
        <w:rPr>
          <w:rFonts w:eastAsia="黑体"/>
          <w:b/>
          <w:color w:val="000000" w:themeColor="text1"/>
          <w:sz w:val="28"/>
          <w:szCs w:val="28"/>
          <w:highlight w:val="none"/>
          <w14:textFill>
            <w14:solidFill>
              <w14:schemeClr w14:val="tx1"/>
            </w14:solidFill>
          </w14:textFill>
        </w:rPr>
      </w:pPr>
      <w:bookmarkStart w:id="121" w:name="_Toc19389"/>
      <w:bookmarkStart w:id="122" w:name="_Toc29744"/>
      <w:r>
        <w:rPr>
          <w:rFonts w:hint="eastAsia" w:eastAsia="黑体"/>
          <w:b/>
          <w:color w:val="000000" w:themeColor="text1"/>
          <w:sz w:val="28"/>
          <w:szCs w:val="28"/>
          <w:highlight w:val="none"/>
          <w14:textFill>
            <w14:solidFill>
              <w14:schemeClr w14:val="tx1"/>
            </w14:solidFill>
          </w14:textFill>
        </w:rPr>
        <w:t>应答人基本情况表</w:t>
      </w:r>
      <w:r>
        <w:rPr>
          <w:rFonts w:eastAsia="黑体"/>
          <w:b/>
          <w:color w:val="000000" w:themeColor="text1"/>
          <w:sz w:val="28"/>
          <w:szCs w:val="28"/>
          <w:highlight w:val="none"/>
          <w14:textFill>
            <w14:solidFill>
              <w14:schemeClr w14:val="tx1"/>
            </w14:solidFill>
          </w14:textFill>
        </w:rPr>
        <w:t>2</w:t>
      </w:r>
      <w:bookmarkEnd w:id="121"/>
      <w:bookmarkEnd w:id="122"/>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668"/>
        <w:gridCol w:w="3198"/>
      </w:tblGrid>
      <w:tr w14:paraId="1D16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pct"/>
            <w:vAlign w:val="center"/>
          </w:tcPr>
          <w:p w14:paraId="6CF8FF78">
            <w:pPr>
              <w:pStyle w:val="28"/>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股东或上级管理单位名称</w:t>
            </w:r>
          </w:p>
        </w:tc>
        <w:tc>
          <w:tcPr>
            <w:tcW w:w="1567" w:type="pct"/>
            <w:vAlign w:val="center"/>
          </w:tcPr>
          <w:p w14:paraId="640A6F99">
            <w:pPr>
              <w:pStyle w:val="28"/>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出资金额</w:t>
            </w:r>
          </w:p>
        </w:tc>
        <w:tc>
          <w:tcPr>
            <w:tcW w:w="1878" w:type="pct"/>
            <w:vAlign w:val="center"/>
          </w:tcPr>
          <w:p w14:paraId="068EE37E">
            <w:pPr>
              <w:pStyle w:val="28"/>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出资比例</w:t>
            </w:r>
          </w:p>
        </w:tc>
      </w:tr>
      <w:tr w14:paraId="03FD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pct"/>
          </w:tcPr>
          <w:p w14:paraId="18D317D1">
            <w:pPr>
              <w:pStyle w:val="28"/>
              <w:snapToGrid w:val="0"/>
              <w:spacing w:line="240" w:lineRule="atLeast"/>
              <w:ind w:firstLine="42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股东</w:t>
            </w:r>
            <w:r>
              <w:rPr>
                <w:rFonts w:ascii="宋体" w:hAnsi="宋体"/>
                <w:color w:val="000000" w:themeColor="text1"/>
                <w:highlight w:val="none"/>
                <w14:textFill>
                  <w14:solidFill>
                    <w14:schemeClr w14:val="tx1"/>
                  </w14:solidFill>
                </w14:textFill>
              </w:rPr>
              <w:t>1</w:t>
            </w:r>
          </w:p>
        </w:tc>
        <w:tc>
          <w:tcPr>
            <w:tcW w:w="1567" w:type="pct"/>
          </w:tcPr>
          <w:p w14:paraId="57D587A8">
            <w:pPr>
              <w:pStyle w:val="28"/>
              <w:snapToGrid w:val="0"/>
              <w:spacing w:line="240" w:lineRule="atLeas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p>
        </w:tc>
        <w:tc>
          <w:tcPr>
            <w:tcW w:w="1878" w:type="pct"/>
          </w:tcPr>
          <w:p w14:paraId="2B3FC1C1">
            <w:pPr>
              <w:pStyle w:val="28"/>
              <w:snapToGrid w:val="0"/>
              <w:spacing w:line="240" w:lineRule="atLeas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p>
        </w:tc>
      </w:tr>
      <w:tr w14:paraId="4B6D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pct"/>
          </w:tcPr>
          <w:p w14:paraId="2618F28F">
            <w:pPr>
              <w:pStyle w:val="28"/>
              <w:snapToGrid w:val="0"/>
              <w:spacing w:line="240" w:lineRule="atLeast"/>
              <w:jc w:val="center"/>
              <w:rPr>
                <w:rFonts w:ascii="宋体" w:hAnsi="宋体"/>
                <w:color w:val="000000" w:themeColor="text1"/>
                <w:highlight w:val="none"/>
                <w14:textFill>
                  <w14:solidFill>
                    <w14:schemeClr w14:val="tx1"/>
                  </w14:solidFill>
                </w14:textFill>
              </w:rPr>
            </w:pPr>
          </w:p>
        </w:tc>
        <w:tc>
          <w:tcPr>
            <w:tcW w:w="1567" w:type="pct"/>
          </w:tcPr>
          <w:p w14:paraId="45A39130">
            <w:pPr>
              <w:pStyle w:val="28"/>
              <w:snapToGrid w:val="0"/>
              <w:spacing w:line="240" w:lineRule="atLeast"/>
              <w:jc w:val="left"/>
              <w:rPr>
                <w:rFonts w:ascii="宋体" w:hAnsi="宋体"/>
                <w:color w:val="000000" w:themeColor="text1"/>
                <w:highlight w:val="none"/>
                <w14:textFill>
                  <w14:solidFill>
                    <w14:schemeClr w14:val="tx1"/>
                  </w14:solidFill>
                </w14:textFill>
              </w:rPr>
            </w:pPr>
          </w:p>
        </w:tc>
        <w:tc>
          <w:tcPr>
            <w:tcW w:w="1878" w:type="pct"/>
          </w:tcPr>
          <w:p w14:paraId="3D7B7CCB">
            <w:pPr>
              <w:pStyle w:val="28"/>
              <w:snapToGrid w:val="0"/>
              <w:spacing w:line="240" w:lineRule="atLeast"/>
              <w:jc w:val="left"/>
              <w:rPr>
                <w:rFonts w:ascii="宋体" w:hAnsi="宋体"/>
                <w:color w:val="000000" w:themeColor="text1"/>
                <w:highlight w:val="none"/>
                <w14:textFill>
                  <w14:solidFill>
                    <w14:schemeClr w14:val="tx1"/>
                  </w14:solidFill>
                </w14:textFill>
              </w:rPr>
            </w:pPr>
          </w:p>
        </w:tc>
      </w:tr>
      <w:tr w14:paraId="7720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pct"/>
          </w:tcPr>
          <w:p w14:paraId="6A1DC641">
            <w:pPr>
              <w:pStyle w:val="28"/>
              <w:snapToGrid w:val="0"/>
              <w:spacing w:line="240" w:lineRule="atLeast"/>
              <w:jc w:val="center"/>
              <w:rPr>
                <w:rFonts w:ascii="宋体" w:hAnsi="宋体"/>
                <w:color w:val="000000" w:themeColor="text1"/>
                <w:highlight w:val="none"/>
                <w14:textFill>
                  <w14:solidFill>
                    <w14:schemeClr w14:val="tx1"/>
                  </w14:solidFill>
                </w14:textFill>
              </w:rPr>
            </w:pPr>
          </w:p>
        </w:tc>
        <w:tc>
          <w:tcPr>
            <w:tcW w:w="1567" w:type="pct"/>
          </w:tcPr>
          <w:p w14:paraId="6067EE64">
            <w:pPr>
              <w:pStyle w:val="28"/>
              <w:snapToGrid w:val="0"/>
              <w:spacing w:line="240" w:lineRule="atLeast"/>
              <w:jc w:val="left"/>
              <w:rPr>
                <w:rFonts w:ascii="宋体" w:hAnsi="宋体"/>
                <w:color w:val="000000" w:themeColor="text1"/>
                <w:highlight w:val="none"/>
                <w14:textFill>
                  <w14:solidFill>
                    <w14:schemeClr w14:val="tx1"/>
                  </w14:solidFill>
                </w14:textFill>
              </w:rPr>
            </w:pPr>
          </w:p>
        </w:tc>
        <w:tc>
          <w:tcPr>
            <w:tcW w:w="1878" w:type="pct"/>
          </w:tcPr>
          <w:p w14:paraId="3976A32A">
            <w:pPr>
              <w:pStyle w:val="28"/>
              <w:snapToGrid w:val="0"/>
              <w:spacing w:line="240" w:lineRule="atLeast"/>
              <w:jc w:val="left"/>
              <w:rPr>
                <w:rFonts w:ascii="宋体" w:hAnsi="宋体"/>
                <w:color w:val="000000" w:themeColor="text1"/>
                <w:highlight w:val="none"/>
                <w14:textFill>
                  <w14:solidFill>
                    <w14:schemeClr w14:val="tx1"/>
                  </w14:solidFill>
                </w14:textFill>
              </w:rPr>
            </w:pPr>
          </w:p>
        </w:tc>
      </w:tr>
    </w:tbl>
    <w:p w14:paraId="2B3A067E">
      <w:pPr>
        <w:tabs>
          <w:tab w:val="right" w:pos="7200"/>
        </w:tabs>
        <w:adjustRightInd w:val="0"/>
        <w:snapToGrid w:val="0"/>
        <w:spacing w:line="400" w:lineRule="exact"/>
        <w:ind w:firstLine="480" w:firstLineChars="200"/>
        <w:rPr>
          <w:rFonts w:hint="eastAsia"/>
          <w:highlight w:val="none"/>
          <w:lang w:eastAsia="zh-CN"/>
        </w:rPr>
        <w:sectPr>
          <w:pgSz w:w="11905" w:h="16838"/>
          <w:pgMar w:top="1134" w:right="1803" w:bottom="1134" w:left="1803" w:header="850" w:footer="850" w:gutter="0"/>
          <w:pgBorders>
            <w:top w:val="none" w:sz="0" w:space="0"/>
            <w:left w:val="none" w:sz="0" w:space="0"/>
            <w:bottom w:val="none" w:sz="0" w:space="0"/>
            <w:right w:val="none" w:sz="0" w:space="0"/>
          </w:pgBorders>
          <w:cols w:space="0" w:num="1"/>
          <w:docGrid w:type="lines" w:linePitch="317" w:charSpace="0"/>
        </w:sectPr>
      </w:pPr>
      <w:r>
        <w:rPr>
          <w:rFonts w:hint="default" w:ascii="宋体" w:hAnsi="宋体" w:cs="宋体"/>
          <w:color w:val="000000" w:themeColor="text1"/>
          <w:szCs w:val="21"/>
          <w:highlight w:val="none"/>
          <w:lang w:val="en-US"/>
          <w14:textFill>
            <w14:solidFill>
              <w14:schemeClr w14:val="tx1"/>
            </w14:solidFill>
          </w14:textFill>
        </w:rPr>
        <w:t>如应答人为企业单位应提供其股东（企业或自然人）名称及详细出资情况，</w:t>
      </w:r>
      <w:r>
        <w:rPr>
          <w:rFonts w:hint="default" w:ascii="宋体" w:hAnsi="宋体" w:cs="宋体"/>
          <w:highlight w:val="none"/>
          <w:lang w:val="en-US"/>
        </w:rPr>
        <w:t>并提供在国家企业信用信息公示系统（http://www.gsxt.gov.cn）查询的截图</w:t>
      </w:r>
      <w:r>
        <w:rPr>
          <w:rFonts w:hint="default" w:ascii="宋体" w:hAnsi="宋体" w:cs="宋体"/>
          <w:color w:val="000000" w:themeColor="text1"/>
          <w:szCs w:val="21"/>
          <w:highlight w:val="none"/>
          <w:lang w:val="en-US"/>
          <w14:textFill>
            <w14:solidFill>
              <w14:schemeClr w14:val="tx1"/>
            </w14:solidFill>
          </w14:textFill>
        </w:rPr>
        <w:t>；如应答人为事业单位应提供上级管理单位名称及详细出资情况；对提供虚假信息的应答人，将取消其成交候选人或成交人资格，并判定为虚假应答。</w:t>
      </w:r>
    </w:p>
    <w:p w14:paraId="4D643569">
      <w:pPr>
        <w:adjustRightInd w:val="0"/>
        <w:snapToGrid w:val="0"/>
        <w:spacing w:line="400" w:lineRule="exact"/>
        <w:outlineLvl w:val="3"/>
        <w:rPr>
          <w:rFonts w:ascii="黑体" w:eastAsia="黑体"/>
          <w:b/>
          <w:color w:val="000000" w:themeColor="text1"/>
          <w:sz w:val="24"/>
          <w:szCs w:val="24"/>
          <w:highlight w:val="none"/>
          <w14:textFill>
            <w14:solidFill>
              <w14:schemeClr w14:val="tx1"/>
            </w14:solidFill>
          </w14:textFill>
        </w:rPr>
      </w:pPr>
      <w:r>
        <w:rPr>
          <w:rFonts w:hint="eastAsia" w:ascii="黑体" w:eastAsia="黑体"/>
          <w:b/>
          <w:color w:val="000000" w:themeColor="text1"/>
          <w:sz w:val="24"/>
          <w:szCs w:val="24"/>
          <w:highlight w:val="none"/>
          <w14:textFill>
            <w14:solidFill>
              <w14:schemeClr w14:val="tx1"/>
            </w14:solidFill>
          </w14:textFill>
        </w:rPr>
        <w:t>3.企业法人营业执照（或事业单位法人证书或其他组织登记证书）副本（扫描件）</w:t>
      </w:r>
    </w:p>
    <w:p w14:paraId="7866AF06">
      <w:pPr>
        <w:autoSpaceDE w:val="0"/>
        <w:autoSpaceDN w:val="0"/>
        <w:spacing w:line="400" w:lineRule="exact"/>
        <w:jc w:val="left"/>
        <w:rPr>
          <w:rFonts w:ascii="宋体" w:hAnsi="宋体" w:cs="宋体"/>
          <w:color w:val="000000" w:themeColor="text1"/>
          <w:kern w:val="0"/>
          <w:szCs w:val="21"/>
          <w:highlight w:val="none"/>
          <w:lang w:val="zh-CN" w:bidi="zh-CN"/>
          <w14:textFill>
            <w14:solidFill>
              <w14:schemeClr w14:val="tx1"/>
            </w14:solidFill>
          </w14:textFill>
        </w:rPr>
      </w:pPr>
    </w:p>
    <w:p w14:paraId="1F065CC0">
      <w:pPr>
        <w:spacing w:line="400" w:lineRule="exact"/>
        <w:jc w:val="center"/>
        <w:rPr>
          <w:rFonts w:eastAsia="黑体"/>
          <w:b/>
          <w:color w:val="000000" w:themeColor="text1"/>
          <w:sz w:val="28"/>
          <w:szCs w:val="28"/>
          <w:highlight w:val="none"/>
          <w14:textFill>
            <w14:solidFill>
              <w14:schemeClr w14:val="tx1"/>
            </w14:solidFill>
          </w14:textFill>
        </w:rPr>
      </w:pPr>
      <w:bookmarkStart w:id="123" w:name="_Toc17137"/>
      <w:bookmarkStart w:id="124" w:name="_Toc4182"/>
      <w:r>
        <w:rPr>
          <w:rFonts w:hint="eastAsia" w:eastAsia="黑体"/>
          <w:b/>
          <w:color w:val="000000" w:themeColor="text1"/>
          <w:sz w:val="28"/>
          <w:szCs w:val="28"/>
          <w:highlight w:val="none"/>
          <w14:textFill>
            <w14:solidFill>
              <w14:schemeClr w14:val="tx1"/>
            </w14:solidFill>
          </w14:textFill>
        </w:rPr>
        <w:t>企业法人营业执照（或事业单位法人证书或其他组织登记证书）副本（扫描件）</w:t>
      </w:r>
      <w:bookmarkEnd w:id="123"/>
      <w:bookmarkEnd w:id="124"/>
    </w:p>
    <w:p w14:paraId="5FDA1F91">
      <w:pPr>
        <w:bidi w:val="0"/>
        <w:rPr>
          <w:rFonts w:ascii="黑体" w:eastAsia="黑体"/>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（此处粘帖应答人企业法人营业执照（或事业单位法人证书）</w:t>
      </w:r>
      <w:r>
        <w:rPr>
          <w:rFonts w:hint="eastAsia" w:ascii="宋体" w:hAnsi="宋体" w:eastAsia="宋体"/>
          <w:b w:val="0"/>
          <w:color w:val="000000" w:themeColor="text1"/>
          <w:sz w:val="21"/>
          <w:szCs w:val="21"/>
          <w:highlight w:val="none"/>
          <w14:textFill>
            <w14:solidFill>
              <w14:schemeClr w14:val="tx1"/>
            </w14:solidFill>
          </w14:textFill>
        </w:rPr>
        <w:t>或其他组织登记证书</w:t>
      </w:r>
      <w:r>
        <w:rPr>
          <w:rFonts w:hint="eastAsia" w:ascii="宋体" w:hAnsi="宋体"/>
          <w:color w:val="000000" w:themeColor="text1"/>
          <w:szCs w:val="21"/>
          <w:highlight w:val="none"/>
          <w14:textFill>
            <w14:solidFill>
              <w14:schemeClr w14:val="tx1"/>
            </w14:solidFill>
          </w14:textFill>
        </w:rPr>
        <w:t>副本扫描件）</w:t>
      </w:r>
      <w:r>
        <w:rPr>
          <w:rFonts w:ascii="Arial" w:hAnsi="Arial" w:eastAsia="黑体"/>
          <w:b/>
          <w:color w:val="000000" w:themeColor="text1"/>
          <w:sz w:val="24"/>
          <w:highlight w:val="none"/>
          <w14:textFill>
            <w14:solidFill>
              <w14:schemeClr w14:val="tx1"/>
            </w14:solidFill>
          </w14:textFill>
        </w:rPr>
        <w:br w:type="page"/>
      </w:r>
      <w:r>
        <w:rPr>
          <w:rFonts w:hint="eastAsia" w:ascii="黑体" w:eastAsia="黑体"/>
          <w:b/>
          <w:color w:val="000000" w:themeColor="text1"/>
          <w:sz w:val="24"/>
          <w:szCs w:val="24"/>
          <w:highlight w:val="none"/>
          <w14:textFill>
            <w14:solidFill>
              <w14:schemeClr w14:val="tx1"/>
            </w14:solidFill>
          </w14:textFill>
        </w:rPr>
        <w:t>4.有效的税务登记证明（扫描件）</w:t>
      </w:r>
    </w:p>
    <w:p w14:paraId="0AC7102A">
      <w:pPr>
        <w:spacing w:line="400" w:lineRule="exact"/>
        <w:jc w:val="center"/>
        <w:rPr>
          <w:rFonts w:eastAsia="黑体"/>
          <w:b/>
          <w:color w:val="000000" w:themeColor="text1"/>
          <w:sz w:val="28"/>
          <w:szCs w:val="28"/>
          <w:highlight w:val="none"/>
          <w14:textFill>
            <w14:solidFill>
              <w14:schemeClr w14:val="tx1"/>
            </w14:solidFill>
          </w14:textFill>
        </w:rPr>
      </w:pPr>
    </w:p>
    <w:p w14:paraId="0E0DC5AD">
      <w:pPr>
        <w:spacing w:line="400" w:lineRule="exact"/>
        <w:jc w:val="center"/>
        <w:rPr>
          <w:rFonts w:eastAsia="黑体"/>
          <w:b/>
          <w:color w:val="000000" w:themeColor="text1"/>
          <w:sz w:val="28"/>
          <w:szCs w:val="28"/>
          <w:highlight w:val="none"/>
          <w14:textFill>
            <w14:solidFill>
              <w14:schemeClr w14:val="tx1"/>
            </w14:solidFill>
          </w14:textFill>
        </w:rPr>
      </w:pPr>
      <w:bookmarkStart w:id="125" w:name="_Toc8497"/>
      <w:bookmarkStart w:id="126" w:name="_Toc17853"/>
      <w:r>
        <w:rPr>
          <w:rFonts w:hint="eastAsia" w:eastAsia="黑体"/>
          <w:b/>
          <w:color w:val="000000" w:themeColor="text1"/>
          <w:sz w:val="28"/>
          <w:szCs w:val="28"/>
          <w:highlight w:val="none"/>
          <w14:textFill>
            <w14:solidFill>
              <w14:schemeClr w14:val="tx1"/>
            </w14:solidFill>
          </w14:textFill>
        </w:rPr>
        <w:t>有效的税务登记证明（扫描件）</w:t>
      </w:r>
      <w:bookmarkEnd w:id="125"/>
      <w:bookmarkEnd w:id="126"/>
    </w:p>
    <w:p w14:paraId="1B60FBCA">
      <w:pPr>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（此处粘帖应答人有效的税务登记证明扫描件，如应答人提供的是“三证合一”“五证合一”等“多证合一”后的营业执照副本扫描件，可不提供税务登记证）</w:t>
      </w:r>
    </w:p>
    <w:p w14:paraId="78ED62AB">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5267A924">
      <w:pPr>
        <w:spacing w:line="400" w:lineRule="exact"/>
        <w:outlineLvl w:val="3"/>
        <w:rPr>
          <w:rFonts w:ascii="黑体" w:eastAsia="黑体"/>
          <w:color w:val="000000" w:themeColor="text1"/>
          <w:sz w:val="24"/>
          <w:highlight w:val="none"/>
          <w14:textFill>
            <w14:solidFill>
              <w14:schemeClr w14:val="tx1"/>
            </w14:solidFill>
          </w14:textFill>
        </w:rPr>
      </w:pPr>
      <w:bookmarkStart w:id="127" w:name="_Toc405838975"/>
      <w:bookmarkStart w:id="128" w:name="_Toc404868438"/>
      <w:r>
        <w:rPr>
          <w:rFonts w:hint="eastAsia" w:ascii="黑体" w:eastAsia="黑体"/>
          <w:b/>
          <w:color w:val="000000" w:themeColor="text1"/>
          <w:sz w:val="24"/>
          <w:szCs w:val="24"/>
          <w:highlight w:val="none"/>
          <w14:textFill>
            <w14:solidFill>
              <w14:schemeClr w14:val="tx1"/>
            </w14:solidFill>
          </w14:textFill>
        </w:rPr>
        <w:t>5.符合采购文件应答人资格要求的证明文件</w:t>
      </w:r>
      <w:bookmarkEnd w:id="127"/>
      <w:bookmarkEnd w:id="128"/>
    </w:p>
    <w:p w14:paraId="345D691C">
      <w:pPr>
        <w:spacing w:line="400" w:lineRule="exact"/>
        <w:outlineLvl w:val="4"/>
        <w:rPr>
          <w:rFonts w:ascii="黑体" w:eastAsia="黑体"/>
          <w:b/>
          <w:color w:val="000000" w:themeColor="text1"/>
          <w:sz w:val="24"/>
          <w:szCs w:val="24"/>
          <w:highlight w:val="none"/>
          <w14:textFill>
            <w14:solidFill>
              <w14:schemeClr w14:val="tx1"/>
            </w14:solidFill>
          </w14:textFill>
        </w:rPr>
      </w:pPr>
      <w:bookmarkStart w:id="129" w:name="_Toc27417"/>
      <w:bookmarkStart w:id="130" w:name="_Toc15526"/>
      <w:r>
        <w:rPr>
          <w:rFonts w:hint="eastAsia" w:ascii="黑体" w:eastAsia="黑体"/>
          <w:b/>
          <w:color w:val="000000" w:themeColor="text1"/>
          <w:sz w:val="24"/>
          <w:szCs w:val="24"/>
          <w:highlight w:val="none"/>
          <w14:textFill>
            <w14:solidFill>
              <w14:schemeClr w14:val="tx1"/>
            </w14:solidFill>
          </w14:textFill>
        </w:rPr>
        <w:t>5.1符合第一章应答人资格要求的证明文件</w:t>
      </w:r>
      <w:bookmarkEnd w:id="129"/>
      <w:bookmarkEnd w:id="130"/>
    </w:p>
    <w:p w14:paraId="5D2DFF0E">
      <w:pPr>
        <w:spacing w:line="400" w:lineRule="exact"/>
        <w:rPr>
          <w:szCs w:val="21"/>
          <w:highlight w:val="none"/>
        </w:rPr>
      </w:pPr>
      <w:r>
        <w:rPr>
          <w:rFonts w:hint="eastAsia"/>
          <w:szCs w:val="21"/>
          <w:highlight w:val="none"/>
        </w:rPr>
        <w:t>（附证明文件扫描件，例如企业资质等级证书等）</w:t>
      </w:r>
    </w:p>
    <w:p w14:paraId="0717C1B5">
      <w:pPr>
        <w:spacing w:line="400" w:lineRule="exact"/>
        <w:rPr>
          <w:rFonts w:ascii="宋体" w:hAnsi="宋体" w:cs="宋体"/>
          <w:szCs w:val="21"/>
          <w:highlight w:val="none"/>
        </w:rPr>
      </w:pPr>
      <w:r>
        <w:rPr>
          <w:rFonts w:hint="eastAsia"/>
          <w:szCs w:val="21"/>
          <w:highlight w:val="none"/>
        </w:rPr>
        <w:t>采购文件</w:t>
      </w:r>
      <w:r>
        <w:rPr>
          <w:rFonts w:hint="eastAsia" w:ascii="宋体" w:hAnsi="宋体" w:cs="宋体"/>
          <w:szCs w:val="21"/>
          <w:highlight w:val="none"/>
        </w:rPr>
        <w:t>（采购公告附表中的专用资格要求）要求的资质证书等事项：</w:t>
      </w:r>
    </w:p>
    <w:p w14:paraId="6773031F">
      <w:pPr>
        <w:spacing w:line="400" w:lineRule="exact"/>
        <w:ind w:firstLine="480" w:firstLineChars="200"/>
        <w:rPr>
          <w:szCs w:val="21"/>
          <w:highlight w:val="none"/>
        </w:rPr>
      </w:pPr>
      <w:r>
        <w:rPr>
          <w:rFonts w:hint="eastAsia"/>
          <w:szCs w:val="21"/>
          <w:highlight w:val="none"/>
        </w:rPr>
        <w:t>（1）若发证机构针对证书中载明的专业、范围、等级、有效期等内容发布变更公告或通知，对应答人所持证书的效力、有效期等产生影响时，应答人应在提交资质证书的同时附变更公告或通知等证明材料，否则，采购人有权否决其应答。</w:t>
      </w:r>
    </w:p>
    <w:p w14:paraId="7CE73EEE">
      <w:pPr>
        <w:spacing w:line="400" w:lineRule="exact"/>
        <w:ind w:firstLine="480" w:firstLineChars="200"/>
        <w:rPr>
          <w:szCs w:val="21"/>
          <w:highlight w:val="none"/>
        </w:rPr>
      </w:pPr>
      <w:r>
        <w:rPr>
          <w:rFonts w:hint="eastAsia"/>
          <w:szCs w:val="21"/>
          <w:highlight w:val="none"/>
        </w:rPr>
        <w:t>（2）若受国家政策影响，资质类别、等级等有精简或归并变化的，且变化后的资质证书按照国家规定能涵盖采购文件要求的，应答人可提供新的资质证书，应答人应在提交资质证书的同时附变更公告或通知等证明材料，否则，采购人有权否决其应答。</w:t>
      </w:r>
    </w:p>
    <w:p w14:paraId="2689F100">
      <w:pPr>
        <w:spacing w:line="400" w:lineRule="exact"/>
        <w:outlineLvl w:val="4"/>
        <w:rPr>
          <w:rFonts w:ascii="黑体" w:eastAsia="黑体"/>
          <w:b/>
          <w:sz w:val="24"/>
          <w:szCs w:val="24"/>
          <w:highlight w:val="none"/>
        </w:rPr>
      </w:pPr>
      <w:bookmarkStart w:id="131" w:name="_Toc28800"/>
      <w:bookmarkStart w:id="132" w:name="_Toc21214"/>
      <w:bookmarkStart w:id="133" w:name="_Toc9925"/>
      <w:bookmarkStart w:id="134" w:name="_Toc26204"/>
      <w:r>
        <w:rPr>
          <w:rFonts w:hint="eastAsia" w:ascii="黑体" w:eastAsia="黑体"/>
          <w:b/>
          <w:sz w:val="24"/>
          <w:szCs w:val="24"/>
          <w:highlight w:val="none"/>
        </w:rPr>
        <w:t>5.2应答人</w:t>
      </w:r>
      <w:r>
        <w:rPr>
          <w:rFonts w:hint="eastAsia" w:ascii="黑体" w:eastAsia="黑体"/>
          <w:b/>
          <w:color w:val="000000" w:themeColor="text1"/>
          <w:sz w:val="24"/>
          <w:szCs w:val="24"/>
          <w:highlight w:val="none"/>
          <w14:textFill>
            <w14:solidFill>
              <w14:schemeClr w14:val="tx1"/>
            </w14:solidFill>
          </w14:textFill>
        </w:rPr>
        <w:t>自述</w:t>
      </w:r>
      <w:r>
        <w:rPr>
          <w:rFonts w:hint="eastAsia" w:ascii="黑体" w:eastAsia="黑体"/>
          <w:b/>
          <w:sz w:val="24"/>
          <w:szCs w:val="24"/>
          <w:highlight w:val="none"/>
        </w:rPr>
        <w:t>响应表</w:t>
      </w:r>
      <w:bookmarkEnd w:id="131"/>
      <w:bookmarkEnd w:id="132"/>
    </w:p>
    <w:p w14:paraId="262D8D04">
      <w:pPr>
        <w:adjustRightInd w:val="0"/>
        <w:snapToGrid w:val="0"/>
        <w:spacing w:line="400" w:lineRule="exact"/>
        <w:ind w:firstLine="480" w:firstLineChars="200"/>
        <w:rPr>
          <w:szCs w:val="21"/>
          <w:highlight w:val="none"/>
        </w:rPr>
      </w:pPr>
      <w:r>
        <w:rPr>
          <w:rFonts w:hint="eastAsia"/>
          <w:szCs w:val="21"/>
          <w:highlight w:val="none"/>
        </w:rPr>
        <w:t>采购文件《第二章应答人须知》“第6.5.2应答人不得存在下列情形之一”，请应答人按照采购文件要求对照查找下述情形是否存在，并填写下表。</w:t>
      </w:r>
    </w:p>
    <w:p w14:paraId="54B999E1">
      <w:pPr>
        <w:adjustRightInd w:val="0"/>
        <w:snapToGrid w:val="0"/>
        <w:spacing w:line="400" w:lineRule="exact"/>
        <w:ind w:firstLine="480" w:firstLineChars="200"/>
        <w:rPr>
          <w:szCs w:val="21"/>
          <w:highlight w:val="none"/>
        </w:rPr>
      </w:pPr>
      <w:r>
        <w:rPr>
          <w:rFonts w:hint="eastAsia"/>
          <w:szCs w:val="21"/>
          <w:highlight w:val="none"/>
        </w:rPr>
        <w:t>针对本采购标的，我们承诺下表内容真实，若此处提供虚假信息，我们接受采购人给予的虚假应答的处理。</w:t>
      </w:r>
    </w:p>
    <w:tbl>
      <w:tblPr>
        <w:tblStyle w:val="16"/>
        <w:tblW w:w="9261" w:type="dxa"/>
        <w:tblInd w:w="-459" w:type="dxa"/>
        <w:tblBorders>
          <w:top w:val="double" w:color="auto" w:sz="6" w:space="0"/>
          <w:left w:val="none" w:color="auto" w:sz="0" w:space="0"/>
          <w:bottom w:val="doub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50"/>
        <w:gridCol w:w="1276"/>
        <w:gridCol w:w="1029"/>
        <w:gridCol w:w="1097"/>
      </w:tblGrid>
      <w:tr w14:paraId="479061D3">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vAlign w:val="center"/>
          </w:tcPr>
          <w:p w14:paraId="6FDB3852">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5150" w:type="dxa"/>
            <w:vAlign w:val="center"/>
          </w:tcPr>
          <w:p w14:paraId="3F9A7064">
            <w:pPr>
              <w:widowControl/>
              <w:jc w:val="center"/>
              <w:rPr>
                <w:rFonts w:ascii="宋体" w:hAnsi="宋体" w:cs="宋体"/>
                <w:b/>
                <w:bCs/>
                <w:kern w:val="0"/>
                <w:szCs w:val="21"/>
                <w:highlight w:val="none"/>
              </w:rPr>
            </w:pPr>
            <w:r>
              <w:rPr>
                <w:rFonts w:hint="eastAsia" w:ascii="宋体" w:hAnsi="宋体" w:cs="宋体"/>
                <w:b/>
                <w:bCs/>
                <w:kern w:val="0"/>
                <w:szCs w:val="21"/>
                <w:highlight w:val="none"/>
              </w:rPr>
              <w:t>自述情况</w:t>
            </w:r>
          </w:p>
        </w:tc>
        <w:tc>
          <w:tcPr>
            <w:tcW w:w="1276" w:type="dxa"/>
            <w:vAlign w:val="center"/>
          </w:tcPr>
          <w:p w14:paraId="55D49800">
            <w:pPr>
              <w:widowControl/>
              <w:jc w:val="center"/>
              <w:rPr>
                <w:rFonts w:ascii="宋体" w:hAnsi="宋体" w:cs="宋体"/>
                <w:b/>
                <w:bCs/>
                <w:kern w:val="0"/>
                <w:szCs w:val="21"/>
                <w:highlight w:val="none"/>
              </w:rPr>
            </w:pPr>
            <w:r>
              <w:rPr>
                <w:rFonts w:hint="eastAsia" w:ascii="宋体" w:hAnsi="宋体" w:cs="宋体"/>
                <w:b/>
                <w:bCs/>
                <w:kern w:val="0"/>
                <w:szCs w:val="21"/>
                <w:highlight w:val="none"/>
              </w:rPr>
              <w:t>不存在</w:t>
            </w:r>
          </w:p>
        </w:tc>
        <w:tc>
          <w:tcPr>
            <w:tcW w:w="2126" w:type="dxa"/>
            <w:gridSpan w:val="2"/>
            <w:vAlign w:val="center"/>
          </w:tcPr>
          <w:p w14:paraId="385A5E52">
            <w:pPr>
              <w:widowControl/>
              <w:jc w:val="center"/>
              <w:rPr>
                <w:rFonts w:ascii="宋体" w:hAnsi="宋体" w:cs="宋体"/>
                <w:b/>
                <w:bCs/>
                <w:kern w:val="0"/>
                <w:szCs w:val="21"/>
                <w:highlight w:val="none"/>
              </w:rPr>
            </w:pPr>
            <w:r>
              <w:rPr>
                <w:rFonts w:hint="eastAsia" w:ascii="宋体" w:hAnsi="宋体" w:cs="宋体"/>
                <w:b/>
                <w:bCs/>
                <w:kern w:val="0"/>
                <w:szCs w:val="21"/>
                <w:highlight w:val="none"/>
              </w:rPr>
              <w:t>存在（情况说明）</w:t>
            </w:r>
          </w:p>
        </w:tc>
      </w:tr>
      <w:tr w14:paraId="0E7767C3">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7D5A67C">
            <w:pPr>
              <w:widowControl/>
              <w:jc w:val="center"/>
              <w:rPr>
                <w:rFonts w:ascii="宋体" w:hAnsi="宋体" w:cs="宋体"/>
                <w:kern w:val="0"/>
                <w:szCs w:val="21"/>
                <w:highlight w:val="none"/>
              </w:rPr>
            </w:pPr>
            <w:r>
              <w:rPr>
                <w:rFonts w:ascii="宋体" w:hAnsi="宋体" w:cs="宋体"/>
                <w:kern w:val="0"/>
                <w:szCs w:val="21"/>
                <w:highlight w:val="none"/>
              </w:rPr>
              <w:t>1</w:t>
            </w:r>
          </w:p>
        </w:tc>
        <w:tc>
          <w:tcPr>
            <w:tcW w:w="5150" w:type="dxa"/>
            <w:vAlign w:val="center"/>
          </w:tcPr>
          <w:p w14:paraId="026AF5DC">
            <w:pPr>
              <w:widowControl/>
              <w:rPr>
                <w:rFonts w:ascii="宋体" w:hAnsi="宋体" w:cs="宋体"/>
                <w:kern w:val="0"/>
                <w:szCs w:val="21"/>
                <w:highlight w:val="none"/>
              </w:rPr>
            </w:pPr>
            <w:r>
              <w:rPr>
                <w:rFonts w:hint="eastAsia" w:ascii="宋体" w:hAnsi="宋体" w:cs="宋体"/>
                <w:kern w:val="0"/>
                <w:szCs w:val="21"/>
                <w:highlight w:val="none"/>
              </w:rPr>
              <w:t>为采购人不具有独立法人资格的附属机构（单位）</w:t>
            </w:r>
          </w:p>
        </w:tc>
        <w:tc>
          <w:tcPr>
            <w:tcW w:w="1276" w:type="dxa"/>
            <w:vAlign w:val="center"/>
          </w:tcPr>
          <w:p w14:paraId="18D713F8">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029" w:type="dxa"/>
            <w:vAlign w:val="center"/>
          </w:tcPr>
          <w:p w14:paraId="41162CE1">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097" w:type="dxa"/>
            <w:vAlign w:val="center"/>
          </w:tcPr>
          <w:p w14:paraId="1741A4DD">
            <w:pPr>
              <w:widowControl/>
              <w:jc w:val="left"/>
              <w:rPr>
                <w:rFonts w:ascii="宋体" w:hAnsi="宋体" w:cs="宋体"/>
                <w:kern w:val="0"/>
                <w:szCs w:val="21"/>
                <w:highlight w:val="none"/>
              </w:rPr>
            </w:pPr>
            <w:r>
              <w:rPr>
                <w:rFonts w:hint="eastAsia" w:ascii="宋体" w:hAnsi="宋体" w:cs="宋体"/>
                <w:kern w:val="0"/>
                <w:szCs w:val="21"/>
                <w:highlight w:val="none"/>
              </w:rPr>
              <w:t>　</w:t>
            </w:r>
          </w:p>
        </w:tc>
      </w:tr>
      <w:tr w14:paraId="1A7026E3">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76A6C53">
            <w:pPr>
              <w:widowControl/>
              <w:jc w:val="center"/>
              <w:rPr>
                <w:rFonts w:ascii="宋体" w:hAnsi="宋体" w:cs="宋体"/>
                <w:kern w:val="0"/>
                <w:szCs w:val="21"/>
                <w:highlight w:val="none"/>
              </w:rPr>
            </w:pPr>
            <w:r>
              <w:rPr>
                <w:rFonts w:ascii="宋体" w:hAnsi="宋体" w:cs="宋体"/>
                <w:kern w:val="0"/>
                <w:szCs w:val="21"/>
                <w:highlight w:val="none"/>
              </w:rPr>
              <w:t>2</w:t>
            </w:r>
          </w:p>
        </w:tc>
        <w:tc>
          <w:tcPr>
            <w:tcW w:w="5150" w:type="dxa"/>
            <w:vAlign w:val="center"/>
          </w:tcPr>
          <w:p w14:paraId="65039115">
            <w:pPr>
              <w:widowControl/>
              <w:rPr>
                <w:rFonts w:ascii="宋体" w:hAnsi="宋体" w:cs="宋体"/>
                <w:kern w:val="0"/>
                <w:szCs w:val="21"/>
                <w:highlight w:val="none"/>
              </w:rPr>
            </w:pPr>
            <w:r>
              <w:rPr>
                <w:rFonts w:hint="eastAsia" w:ascii="宋体" w:hAnsi="宋体" w:cs="宋体"/>
                <w:kern w:val="0"/>
                <w:szCs w:val="21"/>
                <w:highlight w:val="none"/>
              </w:rPr>
              <w:t>与采购人存在利害关系且可能影响采购公正性</w:t>
            </w:r>
          </w:p>
        </w:tc>
        <w:tc>
          <w:tcPr>
            <w:tcW w:w="1276" w:type="dxa"/>
            <w:vAlign w:val="center"/>
          </w:tcPr>
          <w:p w14:paraId="5BECA272">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029" w:type="dxa"/>
            <w:vAlign w:val="center"/>
          </w:tcPr>
          <w:p w14:paraId="14D17573">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097" w:type="dxa"/>
            <w:vAlign w:val="center"/>
          </w:tcPr>
          <w:p w14:paraId="0E549835">
            <w:pPr>
              <w:widowControl/>
              <w:jc w:val="left"/>
              <w:rPr>
                <w:rFonts w:ascii="宋体" w:hAnsi="宋体" w:cs="宋体"/>
                <w:kern w:val="0"/>
                <w:szCs w:val="21"/>
                <w:highlight w:val="none"/>
              </w:rPr>
            </w:pPr>
            <w:r>
              <w:rPr>
                <w:rFonts w:hint="eastAsia" w:ascii="宋体" w:hAnsi="宋体" w:cs="宋体"/>
                <w:kern w:val="0"/>
                <w:szCs w:val="21"/>
                <w:highlight w:val="none"/>
              </w:rPr>
              <w:t>　</w:t>
            </w:r>
          </w:p>
        </w:tc>
      </w:tr>
      <w:tr w14:paraId="6BFA3EC3">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6FAC1E6">
            <w:pPr>
              <w:widowControl/>
              <w:jc w:val="center"/>
              <w:rPr>
                <w:rFonts w:ascii="宋体" w:hAnsi="宋体" w:cs="宋体"/>
                <w:kern w:val="0"/>
                <w:szCs w:val="21"/>
                <w:highlight w:val="none"/>
              </w:rPr>
            </w:pPr>
            <w:r>
              <w:rPr>
                <w:rFonts w:ascii="宋体" w:hAnsi="宋体" w:cs="宋体"/>
                <w:kern w:val="0"/>
                <w:szCs w:val="21"/>
                <w:highlight w:val="none"/>
              </w:rPr>
              <w:t>3</w:t>
            </w:r>
          </w:p>
        </w:tc>
        <w:tc>
          <w:tcPr>
            <w:tcW w:w="5150" w:type="dxa"/>
            <w:shd w:val="clear" w:color="auto" w:fill="auto"/>
            <w:vAlign w:val="center"/>
          </w:tcPr>
          <w:p w14:paraId="730F11E2">
            <w:pPr>
              <w:widowControl/>
              <w:rPr>
                <w:rFonts w:ascii="宋体" w:hAnsi="宋体" w:cs="宋体" w:eastAsiaTheme="minorEastAsia"/>
                <w:kern w:val="0"/>
                <w:sz w:val="24"/>
                <w:szCs w:val="21"/>
                <w:highlight w:val="none"/>
                <w:lang w:val="en-US" w:eastAsia="zh-CN" w:bidi="ar-SA"/>
              </w:rPr>
            </w:pPr>
            <w:r>
              <w:rPr>
                <w:rFonts w:hint="eastAsia" w:ascii="宋体" w:hAnsi="宋体" w:cs="宋体"/>
                <w:kern w:val="0"/>
                <w:szCs w:val="21"/>
                <w:highlight w:val="none"/>
              </w:rPr>
              <w:t>在</w:t>
            </w:r>
            <w:r>
              <w:rPr>
                <w:rFonts w:hint="default" w:ascii="宋体" w:hAnsi="宋体" w:cs="宋体"/>
                <w:kern w:val="0"/>
                <w:szCs w:val="21"/>
                <w:highlight w:val="none"/>
              </w:rPr>
              <w:t>应答</w:t>
            </w:r>
            <w:r>
              <w:rPr>
                <w:rFonts w:hint="eastAsia" w:ascii="宋体" w:hAnsi="宋体" w:cs="宋体"/>
                <w:kern w:val="0"/>
                <w:szCs w:val="21"/>
                <w:highlight w:val="none"/>
              </w:rPr>
              <w:t>截止日前三年内发生重大质量问题（以相关行业主管部门的行政处罚决定或司法机关出具的有关法律文书为准）</w:t>
            </w:r>
          </w:p>
        </w:tc>
        <w:tc>
          <w:tcPr>
            <w:tcW w:w="1276" w:type="dxa"/>
            <w:shd w:val="clear" w:color="auto" w:fill="auto"/>
            <w:vAlign w:val="center"/>
          </w:tcPr>
          <w:p w14:paraId="2FC1F44D">
            <w:pPr>
              <w:widowControl/>
              <w:jc w:val="left"/>
              <w:rPr>
                <w:rFonts w:ascii="宋体" w:hAnsi="宋体" w:cs="宋体" w:eastAsiaTheme="minorEastAsia"/>
                <w:kern w:val="0"/>
                <w:sz w:val="24"/>
                <w:szCs w:val="21"/>
                <w:highlight w:val="none"/>
                <w:lang w:val="en-US" w:eastAsia="zh-CN" w:bidi="ar-SA"/>
              </w:rPr>
            </w:pPr>
            <w:r>
              <w:rPr>
                <w:rFonts w:hint="eastAsia" w:ascii="宋体" w:hAnsi="宋体" w:cs="宋体"/>
                <w:kern w:val="0"/>
                <w:szCs w:val="21"/>
                <w:highlight w:val="none"/>
              </w:rPr>
              <w:t>　</w:t>
            </w:r>
          </w:p>
        </w:tc>
        <w:tc>
          <w:tcPr>
            <w:tcW w:w="1029" w:type="dxa"/>
            <w:shd w:val="clear" w:color="auto" w:fill="auto"/>
            <w:vAlign w:val="center"/>
          </w:tcPr>
          <w:p w14:paraId="0BCB828A">
            <w:pPr>
              <w:widowControl/>
              <w:jc w:val="left"/>
              <w:rPr>
                <w:rFonts w:ascii="宋体" w:hAnsi="宋体" w:cs="宋体" w:eastAsiaTheme="minorEastAsia"/>
                <w:kern w:val="0"/>
                <w:sz w:val="24"/>
                <w:szCs w:val="21"/>
                <w:highlight w:val="none"/>
                <w:lang w:val="en-US" w:eastAsia="zh-CN" w:bidi="ar-SA"/>
              </w:rPr>
            </w:pPr>
            <w:r>
              <w:rPr>
                <w:rFonts w:hint="eastAsia" w:ascii="宋体" w:hAnsi="宋体" w:cs="宋体"/>
                <w:kern w:val="0"/>
                <w:szCs w:val="21"/>
                <w:highlight w:val="none"/>
              </w:rPr>
              <w:t>　</w:t>
            </w:r>
          </w:p>
        </w:tc>
        <w:tc>
          <w:tcPr>
            <w:tcW w:w="1097" w:type="dxa"/>
            <w:shd w:val="clear" w:color="auto" w:fill="auto"/>
            <w:vAlign w:val="center"/>
          </w:tcPr>
          <w:p w14:paraId="3B8B27A7">
            <w:pPr>
              <w:widowControl/>
              <w:jc w:val="left"/>
              <w:rPr>
                <w:rFonts w:ascii="宋体" w:hAnsi="宋体" w:cs="宋体" w:eastAsiaTheme="minorEastAsia"/>
                <w:kern w:val="0"/>
                <w:sz w:val="24"/>
                <w:szCs w:val="21"/>
                <w:highlight w:val="none"/>
                <w:lang w:val="en-US" w:eastAsia="zh-CN" w:bidi="ar-SA"/>
              </w:rPr>
            </w:pPr>
            <w:r>
              <w:rPr>
                <w:rFonts w:hint="eastAsia" w:ascii="宋体" w:hAnsi="宋体" w:cs="宋体"/>
                <w:kern w:val="0"/>
                <w:szCs w:val="21"/>
                <w:highlight w:val="none"/>
              </w:rPr>
              <w:t>　</w:t>
            </w:r>
          </w:p>
        </w:tc>
      </w:tr>
      <w:tr w14:paraId="32E9D11D">
        <w:tblPrEx>
          <w:tblBorders>
            <w:top w:val="double" w:color="auto" w:sz="6" w:space="0"/>
            <w:left w:val="none" w:color="auto" w:sz="0" w:space="0"/>
            <w:bottom w:val="doub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261" w:type="dxa"/>
            <w:gridSpan w:val="5"/>
          </w:tcPr>
          <w:p w14:paraId="17F1C8D4">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填表说明：</w:t>
            </w:r>
            <w:r>
              <w:rPr>
                <w:rFonts w:ascii="宋体" w:hAnsi="宋体" w:cs="宋体"/>
                <w:kern w:val="0"/>
                <w:szCs w:val="21"/>
                <w:highlight w:val="none"/>
              </w:rPr>
              <w:t>1</w:t>
            </w:r>
            <w:r>
              <w:rPr>
                <w:rFonts w:hint="eastAsia" w:ascii="宋体" w:hAnsi="宋体" w:cs="宋体"/>
                <w:kern w:val="0"/>
                <w:szCs w:val="21"/>
                <w:highlight w:val="none"/>
              </w:rPr>
              <w:t>.</w:t>
            </w:r>
            <w:r>
              <w:rPr>
                <w:rFonts w:ascii="宋体" w:hAnsi="宋体" w:cs="宋体"/>
                <w:kern w:val="0"/>
                <w:szCs w:val="21"/>
                <w:highlight w:val="none"/>
              </w:rPr>
              <w:t>如应答人不存在自述所列情况，在“不存在”一栏中打勾，如存在上述情形，则在对应“存在”第一列中打勾，并在其后填写详细情况说明。</w:t>
            </w:r>
          </w:p>
          <w:p w14:paraId="792926DB">
            <w:pPr>
              <w:widowControl/>
              <w:spacing w:line="400" w:lineRule="exact"/>
              <w:jc w:val="left"/>
              <w:rPr>
                <w:rFonts w:ascii="宋体" w:hAnsi="宋体" w:cs="宋体"/>
                <w:kern w:val="0"/>
                <w:szCs w:val="21"/>
                <w:highlight w:val="none"/>
              </w:rPr>
            </w:pPr>
            <w:r>
              <w:rPr>
                <w:rFonts w:ascii="宋体" w:hAnsi="宋体" w:cs="宋体"/>
                <w:kern w:val="0"/>
                <w:szCs w:val="21"/>
                <w:highlight w:val="none"/>
              </w:rPr>
              <w:t xml:space="preserve">          2</w:t>
            </w:r>
            <w:r>
              <w:rPr>
                <w:rFonts w:hint="eastAsia" w:ascii="宋体" w:hAnsi="宋体" w:cs="宋体"/>
                <w:kern w:val="0"/>
                <w:szCs w:val="21"/>
                <w:highlight w:val="none"/>
              </w:rPr>
              <w:t>.</w:t>
            </w:r>
            <w:r>
              <w:rPr>
                <w:rFonts w:ascii="宋体" w:hAnsi="宋体" w:cs="宋体"/>
                <w:kern w:val="0"/>
                <w:szCs w:val="21"/>
                <w:highlight w:val="none"/>
              </w:rPr>
              <w:t>若应答人在上表中自述有“存在”的情况，可能导致本次项目应答的否决。</w:t>
            </w:r>
          </w:p>
        </w:tc>
      </w:tr>
    </w:tbl>
    <w:p w14:paraId="048071C7">
      <w:pPr>
        <w:widowControl/>
        <w:jc w:val="left"/>
        <w:rPr>
          <w:rFonts w:ascii="黑体" w:hAnsi="Arial" w:eastAsia="黑体"/>
          <w:b/>
          <w:szCs w:val="21"/>
          <w:highlight w:val="none"/>
        </w:rPr>
      </w:pPr>
    </w:p>
    <w:p w14:paraId="722C5F16">
      <w:pPr>
        <w:widowControl/>
        <w:jc w:val="left"/>
        <w:rPr>
          <w:rFonts w:ascii="黑体" w:hAnsi="Arial" w:eastAsia="黑体"/>
          <w:b/>
          <w:szCs w:val="21"/>
          <w:highlight w:val="none"/>
        </w:rPr>
        <w:sectPr>
          <w:pgSz w:w="11906" w:h="16838"/>
          <w:pgMar w:top="1440" w:right="1800" w:bottom="1440" w:left="1800" w:header="851" w:footer="992" w:gutter="0"/>
          <w:cols w:space="720" w:num="1"/>
          <w:docGrid w:type="lines" w:linePitch="312" w:charSpace="0"/>
        </w:sectPr>
      </w:pPr>
    </w:p>
    <w:bookmarkEnd w:id="133"/>
    <w:bookmarkEnd w:id="134"/>
    <w:p w14:paraId="510EF8A4">
      <w:pPr>
        <w:spacing w:line="400" w:lineRule="exact"/>
        <w:outlineLvl w:val="4"/>
        <w:rPr>
          <w:rFonts w:ascii="黑体" w:eastAsia="黑体"/>
          <w:b/>
          <w:sz w:val="24"/>
          <w:szCs w:val="24"/>
          <w:highlight w:val="none"/>
        </w:rPr>
      </w:pPr>
      <w:bookmarkStart w:id="135" w:name="_Toc12646"/>
      <w:bookmarkStart w:id="136" w:name="_Toc12485"/>
      <w:r>
        <w:rPr>
          <w:rFonts w:hint="eastAsia" w:ascii="黑体" w:eastAsia="黑体"/>
          <w:b/>
          <w:sz w:val="24"/>
          <w:szCs w:val="24"/>
          <w:highlight w:val="none"/>
        </w:rPr>
        <w:t>5.3应答人查询响应表</w:t>
      </w:r>
      <w:bookmarkEnd w:id="135"/>
      <w:bookmarkEnd w:id="136"/>
    </w:p>
    <w:p w14:paraId="05F94B01">
      <w:pPr>
        <w:adjustRightInd w:val="0"/>
        <w:snapToGrid w:val="0"/>
        <w:spacing w:line="400" w:lineRule="exact"/>
        <w:ind w:firstLine="480" w:firstLineChars="200"/>
        <w:rPr>
          <w:szCs w:val="21"/>
          <w:highlight w:val="none"/>
        </w:rPr>
      </w:pPr>
      <w:r>
        <w:rPr>
          <w:rFonts w:hint="eastAsia"/>
          <w:szCs w:val="21"/>
          <w:highlight w:val="none"/>
        </w:rPr>
        <w:t>针对本采购标的，我们承诺下列查询结果真实，若此处提供虚假信息，我们接受采购人给予的虚假应答的处理。</w:t>
      </w:r>
    </w:p>
    <w:tbl>
      <w:tblPr>
        <w:tblStyle w:val="16"/>
        <w:tblW w:w="9356" w:type="dxa"/>
        <w:jc w:val="center"/>
        <w:tblLayout w:type="fixed"/>
        <w:tblCellMar>
          <w:top w:w="0" w:type="dxa"/>
          <w:left w:w="108" w:type="dxa"/>
          <w:bottom w:w="0" w:type="dxa"/>
          <w:right w:w="108" w:type="dxa"/>
        </w:tblCellMar>
      </w:tblPr>
      <w:tblGrid>
        <w:gridCol w:w="567"/>
        <w:gridCol w:w="4820"/>
        <w:gridCol w:w="1701"/>
        <w:gridCol w:w="1559"/>
        <w:gridCol w:w="709"/>
      </w:tblGrid>
      <w:tr w14:paraId="69072120">
        <w:tblPrEx>
          <w:tblCellMar>
            <w:top w:w="0" w:type="dxa"/>
            <w:left w:w="108" w:type="dxa"/>
            <w:bottom w:w="0" w:type="dxa"/>
            <w:right w:w="108" w:type="dxa"/>
          </w:tblCellMar>
        </w:tblPrEx>
        <w:trPr>
          <w:trHeight w:val="300" w:hRule="atLeast"/>
          <w:jc w:val="center"/>
        </w:trPr>
        <w:tc>
          <w:tcPr>
            <w:tcW w:w="567" w:type="dxa"/>
            <w:tcBorders>
              <w:top w:val="double" w:color="auto" w:sz="6" w:space="0"/>
              <w:left w:val="nil"/>
              <w:bottom w:val="single" w:color="auto" w:sz="4" w:space="0"/>
              <w:right w:val="single" w:color="auto" w:sz="4" w:space="0"/>
            </w:tcBorders>
            <w:vAlign w:val="center"/>
          </w:tcPr>
          <w:p w14:paraId="66CF8686">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4820" w:type="dxa"/>
            <w:tcBorders>
              <w:top w:val="double" w:color="auto" w:sz="6" w:space="0"/>
              <w:left w:val="nil"/>
              <w:bottom w:val="single" w:color="auto" w:sz="4" w:space="0"/>
              <w:right w:val="single" w:color="auto" w:sz="4" w:space="0"/>
            </w:tcBorders>
            <w:vAlign w:val="center"/>
          </w:tcPr>
          <w:p w14:paraId="7F27C3DA">
            <w:pPr>
              <w:widowControl/>
              <w:jc w:val="center"/>
              <w:rPr>
                <w:rFonts w:ascii="宋体" w:hAnsi="宋体" w:cs="宋体"/>
                <w:b/>
                <w:bCs/>
                <w:kern w:val="0"/>
                <w:szCs w:val="21"/>
                <w:highlight w:val="none"/>
              </w:rPr>
            </w:pPr>
            <w:r>
              <w:rPr>
                <w:rFonts w:hint="eastAsia" w:ascii="宋体" w:hAnsi="宋体" w:cs="宋体"/>
                <w:b/>
                <w:bCs/>
                <w:kern w:val="0"/>
                <w:szCs w:val="21"/>
                <w:highlight w:val="none"/>
              </w:rPr>
              <w:t>应答人查询情况</w:t>
            </w:r>
          </w:p>
        </w:tc>
        <w:tc>
          <w:tcPr>
            <w:tcW w:w="1701" w:type="dxa"/>
            <w:tcBorders>
              <w:top w:val="double" w:color="auto" w:sz="6" w:space="0"/>
              <w:left w:val="nil"/>
              <w:bottom w:val="single" w:color="auto" w:sz="4" w:space="0"/>
              <w:right w:val="single" w:color="auto" w:sz="4" w:space="0"/>
            </w:tcBorders>
            <w:vAlign w:val="center"/>
          </w:tcPr>
          <w:p w14:paraId="3AE1CAD6">
            <w:pPr>
              <w:widowControl/>
              <w:jc w:val="center"/>
              <w:rPr>
                <w:rFonts w:ascii="宋体" w:hAnsi="宋体" w:cs="宋体"/>
                <w:b/>
                <w:bCs/>
                <w:kern w:val="0"/>
                <w:szCs w:val="21"/>
                <w:highlight w:val="none"/>
              </w:rPr>
            </w:pPr>
            <w:r>
              <w:rPr>
                <w:rFonts w:hint="eastAsia" w:ascii="宋体" w:hAnsi="宋体" w:cs="宋体"/>
                <w:b/>
                <w:bCs/>
                <w:kern w:val="0"/>
                <w:szCs w:val="21"/>
                <w:highlight w:val="none"/>
              </w:rPr>
              <w:t>查询网站及网址</w:t>
            </w:r>
          </w:p>
        </w:tc>
        <w:tc>
          <w:tcPr>
            <w:tcW w:w="1559" w:type="dxa"/>
            <w:tcBorders>
              <w:top w:val="double" w:color="auto" w:sz="6" w:space="0"/>
              <w:left w:val="nil"/>
              <w:bottom w:val="single" w:color="auto" w:sz="4" w:space="0"/>
              <w:right w:val="single" w:color="auto" w:sz="4" w:space="0"/>
            </w:tcBorders>
            <w:vAlign w:val="center"/>
          </w:tcPr>
          <w:p w14:paraId="4985B7A7">
            <w:pPr>
              <w:widowControl/>
              <w:jc w:val="center"/>
              <w:rPr>
                <w:rFonts w:ascii="宋体" w:hAnsi="宋体" w:cs="宋体"/>
                <w:b/>
                <w:bCs/>
                <w:kern w:val="0"/>
                <w:szCs w:val="21"/>
                <w:highlight w:val="none"/>
              </w:rPr>
            </w:pPr>
            <w:r>
              <w:rPr>
                <w:rFonts w:hint="eastAsia" w:ascii="宋体" w:hAnsi="宋体" w:cs="宋体"/>
                <w:b/>
                <w:bCs/>
                <w:kern w:val="0"/>
                <w:szCs w:val="21"/>
                <w:highlight w:val="none"/>
              </w:rPr>
              <w:t>网站查询结果</w:t>
            </w:r>
          </w:p>
        </w:tc>
        <w:tc>
          <w:tcPr>
            <w:tcW w:w="709" w:type="dxa"/>
            <w:tcBorders>
              <w:top w:val="double" w:color="auto" w:sz="6" w:space="0"/>
              <w:left w:val="nil"/>
              <w:bottom w:val="single" w:color="auto" w:sz="4" w:space="0"/>
              <w:right w:val="nil"/>
            </w:tcBorders>
            <w:vAlign w:val="center"/>
          </w:tcPr>
          <w:p w14:paraId="75B02670">
            <w:pPr>
              <w:widowControl/>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14:paraId="35D77A16">
        <w:tblPrEx>
          <w:tblCellMar>
            <w:top w:w="0" w:type="dxa"/>
            <w:left w:w="108" w:type="dxa"/>
            <w:bottom w:w="0" w:type="dxa"/>
            <w:right w:w="108" w:type="dxa"/>
          </w:tblCellMar>
        </w:tblPrEx>
        <w:trPr>
          <w:trHeight w:val="540" w:hRule="atLeast"/>
          <w:jc w:val="center"/>
        </w:trPr>
        <w:tc>
          <w:tcPr>
            <w:tcW w:w="567" w:type="dxa"/>
            <w:tcBorders>
              <w:top w:val="nil"/>
              <w:left w:val="nil"/>
              <w:bottom w:val="single" w:color="auto" w:sz="4" w:space="0"/>
              <w:right w:val="single" w:color="auto" w:sz="4" w:space="0"/>
            </w:tcBorders>
            <w:vAlign w:val="center"/>
          </w:tcPr>
          <w:p w14:paraId="42C86CEC">
            <w:pPr>
              <w:widowControl/>
              <w:jc w:val="center"/>
              <w:rPr>
                <w:rFonts w:ascii="宋体" w:hAnsi="宋体" w:cs="宋体"/>
                <w:kern w:val="0"/>
                <w:highlight w:val="none"/>
              </w:rPr>
            </w:pPr>
            <w:r>
              <w:rPr>
                <w:rFonts w:ascii="宋体" w:hAnsi="宋体" w:cs="宋体"/>
                <w:kern w:val="0"/>
                <w:szCs w:val="21"/>
                <w:highlight w:val="none"/>
              </w:rPr>
              <w:t>1</w:t>
            </w:r>
          </w:p>
        </w:tc>
        <w:tc>
          <w:tcPr>
            <w:tcW w:w="4820" w:type="dxa"/>
            <w:tcBorders>
              <w:top w:val="nil"/>
              <w:left w:val="nil"/>
              <w:bottom w:val="single" w:color="auto" w:sz="4" w:space="0"/>
              <w:right w:val="single" w:color="auto" w:sz="4" w:space="0"/>
            </w:tcBorders>
            <w:vAlign w:val="center"/>
          </w:tcPr>
          <w:p w14:paraId="15264F3A">
            <w:pPr>
              <w:widowControl/>
              <w:jc w:val="left"/>
              <w:rPr>
                <w:rFonts w:ascii="宋体" w:hAnsi="宋体" w:cs="宋体"/>
                <w:kern w:val="0"/>
                <w:highlight w:val="none"/>
              </w:rPr>
            </w:pPr>
            <w:r>
              <w:rPr>
                <w:rFonts w:hint="eastAsia" w:ascii="宋体" w:hAnsi="宋体" w:cs="宋体"/>
                <w:kern w:val="0"/>
                <w:szCs w:val="21"/>
                <w:highlight w:val="none"/>
              </w:rPr>
              <w:t>同一采购项目中，与其他应答人的法定代表人或单位负责人为同一人。</w:t>
            </w:r>
          </w:p>
        </w:tc>
        <w:tc>
          <w:tcPr>
            <w:tcW w:w="1701" w:type="dxa"/>
            <w:tcBorders>
              <w:top w:val="nil"/>
              <w:left w:val="nil"/>
              <w:bottom w:val="single" w:color="auto" w:sz="4" w:space="0"/>
              <w:right w:val="single" w:color="auto" w:sz="4" w:space="0"/>
            </w:tcBorders>
            <w:vAlign w:val="center"/>
          </w:tcPr>
          <w:p w14:paraId="245C1E30">
            <w:pPr>
              <w:widowControl/>
              <w:jc w:val="left"/>
              <w:rPr>
                <w:rFonts w:ascii="宋体" w:hAnsi="宋体" w:cs="宋体"/>
                <w:kern w:val="0"/>
                <w:highlight w:val="none"/>
              </w:rPr>
            </w:pPr>
            <w:r>
              <w:rPr>
                <w:rFonts w:hint="eastAsia" w:ascii="宋体" w:hAnsi="宋体" w:cs="宋体"/>
                <w:kern w:val="0"/>
                <w:szCs w:val="21"/>
                <w:highlight w:val="none"/>
              </w:rPr>
              <w:t>　</w:t>
            </w:r>
          </w:p>
        </w:tc>
        <w:tc>
          <w:tcPr>
            <w:tcW w:w="1559" w:type="dxa"/>
            <w:tcBorders>
              <w:top w:val="nil"/>
              <w:left w:val="nil"/>
              <w:bottom w:val="single" w:color="auto" w:sz="4" w:space="0"/>
              <w:right w:val="single" w:color="auto" w:sz="4" w:space="0"/>
            </w:tcBorders>
            <w:vAlign w:val="center"/>
          </w:tcPr>
          <w:p w14:paraId="255D348C">
            <w:pPr>
              <w:widowControl/>
              <w:jc w:val="left"/>
              <w:rPr>
                <w:rFonts w:ascii="宋体" w:hAnsi="宋体" w:cs="宋体"/>
                <w:kern w:val="0"/>
                <w:highlight w:val="none"/>
              </w:rPr>
            </w:pPr>
            <w:r>
              <w:rPr>
                <w:rFonts w:hint="eastAsia" w:ascii="宋体" w:hAnsi="宋体" w:cs="宋体"/>
                <w:kern w:val="0"/>
                <w:szCs w:val="21"/>
                <w:highlight w:val="none"/>
              </w:rPr>
              <w:t>　</w:t>
            </w:r>
          </w:p>
        </w:tc>
        <w:tc>
          <w:tcPr>
            <w:tcW w:w="709" w:type="dxa"/>
            <w:tcBorders>
              <w:top w:val="nil"/>
              <w:left w:val="nil"/>
              <w:bottom w:val="single" w:color="auto" w:sz="4" w:space="0"/>
              <w:right w:val="nil"/>
            </w:tcBorders>
            <w:vAlign w:val="center"/>
          </w:tcPr>
          <w:p w14:paraId="02815F57">
            <w:pPr>
              <w:widowControl/>
              <w:jc w:val="left"/>
              <w:rPr>
                <w:rFonts w:ascii="宋体" w:hAnsi="宋体" w:cs="宋体"/>
                <w:kern w:val="0"/>
                <w:highlight w:val="none"/>
              </w:rPr>
            </w:pPr>
            <w:r>
              <w:rPr>
                <w:rFonts w:hint="eastAsia" w:ascii="宋体" w:hAnsi="宋体" w:cs="宋体"/>
                <w:kern w:val="0"/>
                <w:szCs w:val="21"/>
                <w:highlight w:val="none"/>
              </w:rPr>
              <w:t>　</w:t>
            </w:r>
          </w:p>
        </w:tc>
      </w:tr>
      <w:tr w14:paraId="604E05D5">
        <w:tblPrEx>
          <w:tblCellMar>
            <w:top w:w="0" w:type="dxa"/>
            <w:left w:w="108" w:type="dxa"/>
            <w:bottom w:w="0" w:type="dxa"/>
            <w:right w:w="108" w:type="dxa"/>
          </w:tblCellMar>
        </w:tblPrEx>
        <w:trPr>
          <w:trHeight w:val="540" w:hRule="atLeast"/>
          <w:jc w:val="center"/>
        </w:trPr>
        <w:tc>
          <w:tcPr>
            <w:tcW w:w="567" w:type="dxa"/>
            <w:tcBorders>
              <w:top w:val="nil"/>
              <w:left w:val="nil"/>
              <w:bottom w:val="single" w:color="auto" w:sz="4" w:space="0"/>
              <w:right w:val="single" w:color="auto" w:sz="4" w:space="0"/>
            </w:tcBorders>
            <w:vAlign w:val="center"/>
          </w:tcPr>
          <w:p w14:paraId="32C9EFAD">
            <w:pPr>
              <w:widowControl/>
              <w:jc w:val="center"/>
              <w:rPr>
                <w:rFonts w:ascii="宋体" w:hAnsi="宋体" w:cs="宋体"/>
                <w:kern w:val="0"/>
                <w:highlight w:val="none"/>
              </w:rPr>
            </w:pPr>
            <w:r>
              <w:rPr>
                <w:rFonts w:ascii="宋体" w:hAnsi="宋体" w:cs="宋体"/>
                <w:kern w:val="0"/>
                <w:szCs w:val="21"/>
                <w:highlight w:val="none"/>
              </w:rPr>
              <w:t>2</w:t>
            </w:r>
          </w:p>
        </w:tc>
        <w:tc>
          <w:tcPr>
            <w:tcW w:w="4820" w:type="dxa"/>
            <w:tcBorders>
              <w:top w:val="nil"/>
              <w:left w:val="nil"/>
              <w:bottom w:val="single" w:color="auto" w:sz="4" w:space="0"/>
              <w:right w:val="single" w:color="auto" w:sz="4" w:space="0"/>
            </w:tcBorders>
            <w:vAlign w:val="center"/>
          </w:tcPr>
          <w:p w14:paraId="39FA28BA">
            <w:pPr>
              <w:widowControl/>
              <w:jc w:val="left"/>
              <w:rPr>
                <w:rFonts w:ascii="宋体" w:hAnsi="宋体" w:cs="宋体"/>
                <w:kern w:val="0"/>
                <w:highlight w:val="none"/>
              </w:rPr>
            </w:pPr>
            <w:r>
              <w:rPr>
                <w:rFonts w:hint="eastAsia" w:ascii="宋体" w:hAnsi="宋体" w:cs="宋体"/>
                <w:kern w:val="0"/>
                <w:szCs w:val="21"/>
                <w:highlight w:val="none"/>
              </w:rPr>
              <w:t>同一采购项目中，与其他应答人存在控股、管理关系。</w:t>
            </w:r>
          </w:p>
        </w:tc>
        <w:tc>
          <w:tcPr>
            <w:tcW w:w="1701" w:type="dxa"/>
            <w:tcBorders>
              <w:top w:val="nil"/>
              <w:left w:val="nil"/>
              <w:bottom w:val="single" w:color="auto" w:sz="4" w:space="0"/>
              <w:right w:val="single" w:color="auto" w:sz="4" w:space="0"/>
            </w:tcBorders>
            <w:vAlign w:val="center"/>
          </w:tcPr>
          <w:p w14:paraId="2350C9EB">
            <w:pPr>
              <w:widowControl/>
              <w:jc w:val="left"/>
              <w:rPr>
                <w:rFonts w:ascii="宋体" w:hAnsi="宋体" w:cs="宋体"/>
                <w:kern w:val="0"/>
                <w:highlight w:val="none"/>
              </w:rPr>
            </w:pPr>
            <w:r>
              <w:rPr>
                <w:rFonts w:hint="eastAsia" w:ascii="宋体" w:hAnsi="宋体" w:cs="宋体"/>
                <w:kern w:val="0"/>
                <w:szCs w:val="21"/>
                <w:highlight w:val="none"/>
              </w:rPr>
              <w:t>　</w:t>
            </w:r>
          </w:p>
        </w:tc>
        <w:tc>
          <w:tcPr>
            <w:tcW w:w="1559" w:type="dxa"/>
            <w:tcBorders>
              <w:top w:val="nil"/>
              <w:left w:val="nil"/>
              <w:bottom w:val="single" w:color="auto" w:sz="4" w:space="0"/>
              <w:right w:val="single" w:color="auto" w:sz="4" w:space="0"/>
            </w:tcBorders>
            <w:vAlign w:val="center"/>
          </w:tcPr>
          <w:p w14:paraId="78294E51">
            <w:pPr>
              <w:widowControl/>
              <w:jc w:val="left"/>
              <w:rPr>
                <w:rFonts w:ascii="宋体" w:hAnsi="宋体" w:cs="宋体"/>
                <w:kern w:val="0"/>
                <w:highlight w:val="none"/>
              </w:rPr>
            </w:pPr>
            <w:r>
              <w:rPr>
                <w:rFonts w:hint="eastAsia" w:ascii="宋体" w:hAnsi="宋体" w:cs="宋体"/>
                <w:kern w:val="0"/>
                <w:szCs w:val="21"/>
                <w:highlight w:val="none"/>
              </w:rPr>
              <w:t>　</w:t>
            </w:r>
          </w:p>
        </w:tc>
        <w:tc>
          <w:tcPr>
            <w:tcW w:w="709" w:type="dxa"/>
            <w:tcBorders>
              <w:top w:val="nil"/>
              <w:left w:val="nil"/>
              <w:bottom w:val="single" w:color="auto" w:sz="4" w:space="0"/>
              <w:right w:val="nil"/>
            </w:tcBorders>
            <w:vAlign w:val="center"/>
          </w:tcPr>
          <w:p w14:paraId="5CAE96A2">
            <w:pPr>
              <w:widowControl/>
              <w:jc w:val="left"/>
              <w:rPr>
                <w:rFonts w:ascii="宋体" w:hAnsi="宋体" w:cs="宋体"/>
                <w:kern w:val="0"/>
                <w:highlight w:val="none"/>
              </w:rPr>
            </w:pPr>
            <w:r>
              <w:rPr>
                <w:rFonts w:hint="eastAsia" w:ascii="宋体" w:hAnsi="宋体" w:cs="宋体"/>
                <w:kern w:val="0"/>
                <w:szCs w:val="21"/>
                <w:highlight w:val="none"/>
              </w:rPr>
              <w:t>　</w:t>
            </w:r>
          </w:p>
        </w:tc>
      </w:tr>
      <w:tr w14:paraId="4DCA130C">
        <w:tblPrEx>
          <w:tblCellMar>
            <w:top w:w="0" w:type="dxa"/>
            <w:left w:w="108" w:type="dxa"/>
            <w:bottom w:w="0" w:type="dxa"/>
            <w:right w:w="108" w:type="dxa"/>
          </w:tblCellMar>
        </w:tblPrEx>
        <w:trPr>
          <w:trHeight w:val="285" w:hRule="atLeast"/>
          <w:jc w:val="center"/>
        </w:trPr>
        <w:tc>
          <w:tcPr>
            <w:tcW w:w="567" w:type="dxa"/>
            <w:tcBorders>
              <w:top w:val="nil"/>
              <w:left w:val="nil"/>
              <w:bottom w:val="single" w:color="auto" w:sz="4" w:space="0"/>
              <w:right w:val="single" w:color="auto" w:sz="4" w:space="0"/>
            </w:tcBorders>
            <w:vAlign w:val="center"/>
          </w:tcPr>
          <w:p w14:paraId="5217B6D1">
            <w:pPr>
              <w:widowControl/>
              <w:jc w:val="center"/>
              <w:rPr>
                <w:rFonts w:ascii="宋体" w:hAnsi="宋体" w:cs="宋体"/>
                <w:kern w:val="0"/>
                <w:szCs w:val="21"/>
                <w:highlight w:val="none"/>
              </w:rPr>
            </w:pPr>
            <w:r>
              <w:rPr>
                <w:rFonts w:ascii="宋体" w:hAnsi="宋体" w:cs="宋体"/>
                <w:kern w:val="0"/>
                <w:szCs w:val="21"/>
                <w:highlight w:val="none"/>
              </w:rPr>
              <w:t>3</w:t>
            </w:r>
          </w:p>
        </w:tc>
        <w:tc>
          <w:tcPr>
            <w:tcW w:w="4820" w:type="dxa"/>
            <w:tcBorders>
              <w:top w:val="nil"/>
              <w:left w:val="nil"/>
              <w:bottom w:val="single" w:color="auto" w:sz="4" w:space="0"/>
              <w:right w:val="single" w:color="auto" w:sz="4" w:space="0"/>
            </w:tcBorders>
            <w:vAlign w:val="center"/>
          </w:tcPr>
          <w:p w14:paraId="68073591">
            <w:pPr>
              <w:widowControl/>
              <w:jc w:val="left"/>
              <w:rPr>
                <w:rFonts w:ascii="宋体" w:hAnsi="宋体" w:cs="宋体"/>
                <w:kern w:val="0"/>
                <w:szCs w:val="21"/>
                <w:highlight w:val="none"/>
              </w:rPr>
            </w:pPr>
            <w:r>
              <w:rPr>
                <w:rFonts w:hint="eastAsia" w:ascii="宋体" w:hAnsi="宋体" w:cs="宋体"/>
                <w:kern w:val="0"/>
                <w:szCs w:val="21"/>
                <w:highlight w:val="none"/>
              </w:rPr>
              <w:t>被责令停产停业、暂扣或者吊销许可证、暂扣或者吊销执照。</w:t>
            </w:r>
          </w:p>
        </w:tc>
        <w:tc>
          <w:tcPr>
            <w:tcW w:w="1701" w:type="dxa"/>
            <w:tcBorders>
              <w:top w:val="nil"/>
              <w:left w:val="nil"/>
              <w:bottom w:val="single" w:color="auto" w:sz="4" w:space="0"/>
              <w:right w:val="single" w:color="auto" w:sz="4" w:space="0"/>
            </w:tcBorders>
            <w:vAlign w:val="center"/>
          </w:tcPr>
          <w:p w14:paraId="3447537B">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559" w:type="dxa"/>
            <w:tcBorders>
              <w:top w:val="nil"/>
              <w:left w:val="nil"/>
              <w:bottom w:val="single" w:color="auto" w:sz="4" w:space="0"/>
              <w:right w:val="single" w:color="auto" w:sz="4" w:space="0"/>
            </w:tcBorders>
            <w:vAlign w:val="center"/>
          </w:tcPr>
          <w:p w14:paraId="5D9BDEDD">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709" w:type="dxa"/>
            <w:tcBorders>
              <w:top w:val="nil"/>
              <w:left w:val="nil"/>
              <w:bottom w:val="single" w:color="auto" w:sz="4" w:space="0"/>
              <w:right w:val="nil"/>
            </w:tcBorders>
            <w:vAlign w:val="center"/>
          </w:tcPr>
          <w:p w14:paraId="761D8486">
            <w:pPr>
              <w:widowControl/>
              <w:jc w:val="left"/>
              <w:rPr>
                <w:rFonts w:ascii="宋体" w:hAnsi="宋体" w:cs="宋体"/>
                <w:kern w:val="0"/>
                <w:szCs w:val="21"/>
                <w:highlight w:val="none"/>
              </w:rPr>
            </w:pPr>
            <w:r>
              <w:rPr>
                <w:rFonts w:hint="eastAsia" w:ascii="宋体" w:hAnsi="宋体" w:cs="宋体"/>
                <w:kern w:val="0"/>
                <w:szCs w:val="21"/>
                <w:highlight w:val="none"/>
              </w:rPr>
              <w:t>　</w:t>
            </w:r>
          </w:p>
        </w:tc>
      </w:tr>
      <w:tr w14:paraId="35E3E8CD">
        <w:tblPrEx>
          <w:tblCellMar>
            <w:top w:w="0" w:type="dxa"/>
            <w:left w:w="108" w:type="dxa"/>
            <w:bottom w:w="0" w:type="dxa"/>
            <w:right w:w="108" w:type="dxa"/>
          </w:tblCellMar>
        </w:tblPrEx>
        <w:trPr>
          <w:trHeight w:val="285" w:hRule="atLeast"/>
          <w:jc w:val="center"/>
        </w:trPr>
        <w:tc>
          <w:tcPr>
            <w:tcW w:w="567" w:type="dxa"/>
            <w:tcBorders>
              <w:top w:val="nil"/>
              <w:left w:val="nil"/>
              <w:bottom w:val="single" w:color="auto" w:sz="4" w:space="0"/>
              <w:right w:val="single" w:color="auto" w:sz="4" w:space="0"/>
            </w:tcBorders>
            <w:vAlign w:val="center"/>
          </w:tcPr>
          <w:p w14:paraId="5C2613EB">
            <w:pPr>
              <w:widowControl/>
              <w:jc w:val="center"/>
              <w:rPr>
                <w:rFonts w:ascii="宋体" w:hAnsi="宋体" w:cs="宋体"/>
                <w:kern w:val="0"/>
                <w:szCs w:val="21"/>
                <w:highlight w:val="none"/>
              </w:rPr>
            </w:pPr>
            <w:r>
              <w:rPr>
                <w:rFonts w:ascii="宋体" w:hAnsi="宋体" w:cs="宋体"/>
                <w:kern w:val="0"/>
                <w:szCs w:val="21"/>
                <w:highlight w:val="none"/>
              </w:rPr>
              <w:t>4</w:t>
            </w:r>
          </w:p>
        </w:tc>
        <w:tc>
          <w:tcPr>
            <w:tcW w:w="4820" w:type="dxa"/>
            <w:tcBorders>
              <w:top w:val="nil"/>
              <w:left w:val="nil"/>
              <w:bottom w:val="single" w:color="auto" w:sz="4" w:space="0"/>
              <w:right w:val="single" w:color="auto" w:sz="4" w:space="0"/>
            </w:tcBorders>
            <w:vAlign w:val="center"/>
          </w:tcPr>
          <w:p w14:paraId="7DA20770">
            <w:pPr>
              <w:widowControl/>
              <w:jc w:val="left"/>
              <w:rPr>
                <w:rFonts w:ascii="宋体" w:hAnsi="宋体" w:cs="宋体"/>
                <w:kern w:val="0"/>
                <w:szCs w:val="21"/>
                <w:highlight w:val="none"/>
              </w:rPr>
            </w:pPr>
            <w:r>
              <w:rPr>
                <w:rFonts w:hint="eastAsia" w:ascii="宋体" w:hAnsi="宋体" w:cs="宋体"/>
                <w:kern w:val="0"/>
                <w:szCs w:val="21"/>
                <w:highlight w:val="none"/>
              </w:rPr>
              <w:t>进入清算程序，或被宣告破产，或其他丧失履约能力的情形。</w:t>
            </w:r>
          </w:p>
        </w:tc>
        <w:tc>
          <w:tcPr>
            <w:tcW w:w="1701" w:type="dxa"/>
            <w:tcBorders>
              <w:top w:val="nil"/>
              <w:left w:val="nil"/>
              <w:bottom w:val="single" w:color="auto" w:sz="4" w:space="0"/>
              <w:right w:val="single" w:color="auto" w:sz="4" w:space="0"/>
            </w:tcBorders>
            <w:vAlign w:val="center"/>
          </w:tcPr>
          <w:p w14:paraId="280376F5">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559" w:type="dxa"/>
            <w:tcBorders>
              <w:top w:val="nil"/>
              <w:left w:val="nil"/>
              <w:bottom w:val="single" w:color="auto" w:sz="4" w:space="0"/>
              <w:right w:val="single" w:color="auto" w:sz="4" w:space="0"/>
            </w:tcBorders>
            <w:vAlign w:val="center"/>
          </w:tcPr>
          <w:p w14:paraId="0BF4A623">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709" w:type="dxa"/>
            <w:tcBorders>
              <w:top w:val="nil"/>
              <w:left w:val="nil"/>
              <w:bottom w:val="single" w:color="auto" w:sz="4" w:space="0"/>
              <w:right w:val="nil"/>
            </w:tcBorders>
            <w:vAlign w:val="center"/>
          </w:tcPr>
          <w:p w14:paraId="0B897416">
            <w:pPr>
              <w:widowControl/>
              <w:jc w:val="left"/>
              <w:rPr>
                <w:rFonts w:ascii="宋体" w:hAnsi="宋体" w:cs="宋体"/>
                <w:kern w:val="0"/>
                <w:szCs w:val="21"/>
                <w:highlight w:val="none"/>
              </w:rPr>
            </w:pPr>
            <w:r>
              <w:rPr>
                <w:rFonts w:hint="eastAsia" w:ascii="宋体" w:hAnsi="宋体" w:cs="宋体"/>
                <w:kern w:val="0"/>
                <w:szCs w:val="21"/>
                <w:highlight w:val="none"/>
              </w:rPr>
              <w:t>　</w:t>
            </w:r>
          </w:p>
        </w:tc>
      </w:tr>
      <w:tr w14:paraId="0F89E169">
        <w:tblPrEx>
          <w:tblCellMar>
            <w:top w:w="0" w:type="dxa"/>
            <w:left w:w="108" w:type="dxa"/>
            <w:bottom w:w="0" w:type="dxa"/>
            <w:right w:w="108" w:type="dxa"/>
          </w:tblCellMar>
        </w:tblPrEx>
        <w:trPr>
          <w:trHeight w:val="540" w:hRule="atLeast"/>
          <w:jc w:val="center"/>
        </w:trPr>
        <w:tc>
          <w:tcPr>
            <w:tcW w:w="567" w:type="dxa"/>
            <w:tcBorders>
              <w:top w:val="nil"/>
              <w:left w:val="nil"/>
              <w:bottom w:val="single" w:color="auto" w:sz="4" w:space="0"/>
              <w:right w:val="single" w:color="auto" w:sz="4" w:space="0"/>
            </w:tcBorders>
            <w:vAlign w:val="center"/>
          </w:tcPr>
          <w:p w14:paraId="4430E695">
            <w:pPr>
              <w:widowControl/>
              <w:jc w:val="center"/>
              <w:rPr>
                <w:rFonts w:ascii="宋体" w:hAnsi="宋体" w:cs="宋体"/>
                <w:kern w:val="0"/>
                <w:szCs w:val="21"/>
                <w:highlight w:val="none"/>
              </w:rPr>
            </w:pPr>
            <w:r>
              <w:rPr>
                <w:rFonts w:ascii="宋体" w:hAnsi="宋体" w:cs="宋体"/>
                <w:kern w:val="0"/>
                <w:szCs w:val="21"/>
                <w:highlight w:val="none"/>
              </w:rPr>
              <w:t>5</w:t>
            </w:r>
          </w:p>
        </w:tc>
        <w:tc>
          <w:tcPr>
            <w:tcW w:w="4820" w:type="dxa"/>
            <w:tcBorders>
              <w:top w:val="nil"/>
              <w:left w:val="nil"/>
              <w:bottom w:val="single" w:color="auto" w:sz="4" w:space="0"/>
              <w:right w:val="single" w:color="auto" w:sz="4" w:space="0"/>
            </w:tcBorders>
            <w:vAlign w:val="center"/>
          </w:tcPr>
          <w:p w14:paraId="2ECF8BBB">
            <w:pPr>
              <w:widowControl/>
              <w:jc w:val="left"/>
              <w:rPr>
                <w:rFonts w:ascii="宋体" w:hAnsi="宋体" w:cs="宋体"/>
                <w:kern w:val="0"/>
                <w:szCs w:val="21"/>
                <w:highlight w:val="none"/>
              </w:rPr>
            </w:pPr>
            <w:r>
              <w:rPr>
                <w:rFonts w:hint="eastAsia" w:ascii="宋体" w:hAnsi="宋体" w:cs="宋体"/>
                <w:kern w:val="0"/>
                <w:szCs w:val="21"/>
                <w:highlight w:val="none"/>
              </w:rPr>
              <w:t>被市场监督管理机关在国家企业信用信息公示系统中列入严重违法失信企业名单或列入经营异常名录信息的。</w:t>
            </w:r>
          </w:p>
        </w:tc>
        <w:tc>
          <w:tcPr>
            <w:tcW w:w="1701" w:type="dxa"/>
            <w:tcBorders>
              <w:top w:val="nil"/>
              <w:left w:val="nil"/>
              <w:bottom w:val="single" w:color="auto" w:sz="4" w:space="0"/>
              <w:right w:val="single" w:color="auto" w:sz="4" w:space="0"/>
            </w:tcBorders>
            <w:vAlign w:val="center"/>
          </w:tcPr>
          <w:p w14:paraId="26A5AC6E">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559" w:type="dxa"/>
            <w:tcBorders>
              <w:top w:val="nil"/>
              <w:left w:val="nil"/>
              <w:bottom w:val="single" w:color="auto" w:sz="4" w:space="0"/>
              <w:right w:val="single" w:color="auto" w:sz="4" w:space="0"/>
            </w:tcBorders>
            <w:vAlign w:val="center"/>
          </w:tcPr>
          <w:p w14:paraId="2734098D">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709" w:type="dxa"/>
            <w:tcBorders>
              <w:top w:val="nil"/>
              <w:left w:val="nil"/>
              <w:bottom w:val="single" w:color="auto" w:sz="4" w:space="0"/>
              <w:right w:val="nil"/>
            </w:tcBorders>
            <w:vAlign w:val="center"/>
          </w:tcPr>
          <w:p w14:paraId="1A05A226">
            <w:pPr>
              <w:widowControl/>
              <w:jc w:val="left"/>
              <w:rPr>
                <w:rFonts w:ascii="宋体" w:hAnsi="宋体" w:cs="宋体"/>
                <w:kern w:val="0"/>
                <w:szCs w:val="21"/>
                <w:highlight w:val="none"/>
              </w:rPr>
            </w:pPr>
            <w:r>
              <w:rPr>
                <w:rFonts w:hint="eastAsia" w:ascii="宋体" w:hAnsi="宋体" w:cs="宋体"/>
                <w:kern w:val="0"/>
                <w:szCs w:val="21"/>
                <w:highlight w:val="none"/>
              </w:rPr>
              <w:t>　</w:t>
            </w:r>
          </w:p>
        </w:tc>
      </w:tr>
      <w:tr w14:paraId="589CCF81">
        <w:tblPrEx>
          <w:tblCellMar>
            <w:top w:w="0" w:type="dxa"/>
            <w:left w:w="108" w:type="dxa"/>
            <w:bottom w:w="0" w:type="dxa"/>
            <w:right w:w="108" w:type="dxa"/>
          </w:tblCellMar>
        </w:tblPrEx>
        <w:trPr>
          <w:trHeight w:val="540" w:hRule="atLeast"/>
          <w:jc w:val="center"/>
        </w:trPr>
        <w:tc>
          <w:tcPr>
            <w:tcW w:w="567" w:type="dxa"/>
            <w:tcBorders>
              <w:top w:val="nil"/>
              <w:left w:val="nil"/>
              <w:bottom w:val="single" w:color="auto" w:sz="4" w:space="0"/>
              <w:right w:val="single" w:color="auto" w:sz="4" w:space="0"/>
            </w:tcBorders>
            <w:vAlign w:val="center"/>
          </w:tcPr>
          <w:p w14:paraId="1F53D0D7">
            <w:pPr>
              <w:widowControl/>
              <w:jc w:val="center"/>
              <w:rPr>
                <w:rFonts w:ascii="宋体" w:hAnsi="宋体" w:cs="宋体"/>
                <w:kern w:val="0"/>
                <w:szCs w:val="21"/>
                <w:highlight w:val="none"/>
              </w:rPr>
            </w:pPr>
            <w:r>
              <w:rPr>
                <w:rFonts w:hint="eastAsia" w:ascii="宋体" w:hAnsi="宋体" w:cs="宋体"/>
                <w:kern w:val="0"/>
                <w:szCs w:val="21"/>
                <w:highlight w:val="none"/>
              </w:rPr>
              <w:t>6</w:t>
            </w:r>
          </w:p>
        </w:tc>
        <w:tc>
          <w:tcPr>
            <w:tcW w:w="4820" w:type="dxa"/>
            <w:tcBorders>
              <w:top w:val="nil"/>
              <w:left w:val="nil"/>
              <w:bottom w:val="single" w:color="auto" w:sz="4" w:space="0"/>
              <w:right w:val="single" w:color="auto" w:sz="4" w:space="0"/>
            </w:tcBorders>
            <w:vAlign w:val="center"/>
          </w:tcPr>
          <w:p w14:paraId="64BDDDFD">
            <w:pPr>
              <w:widowControl/>
              <w:jc w:val="left"/>
              <w:rPr>
                <w:rFonts w:ascii="宋体" w:hAnsi="宋体" w:cs="宋体"/>
                <w:kern w:val="0"/>
                <w:szCs w:val="21"/>
                <w:highlight w:val="none"/>
              </w:rPr>
            </w:pPr>
            <w:r>
              <w:rPr>
                <w:rFonts w:hint="eastAsia" w:ascii="宋体" w:hAnsi="宋体" w:cs="宋体"/>
                <w:kern w:val="0"/>
                <w:szCs w:val="21"/>
                <w:highlight w:val="none"/>
              </w:rPr>
              <w:t>被最高人民法院在“信用中国”网站（</w:t>
            </w:r>
            <w:r>
              <w:rPr>
                <w:rFonts w:ascii="宋体" w:hAnsi="宋体" w:cs="宋体"/>
                <w:kern w:val="0"/>
                <w:szCs w:val="21"/>
                <w:highlight w:val="none"/>
              </w:rPr>
              <w:t>www.creditchina.gov.cn）中列入失信被执行人名单</w:t>
            </w:r>
            <w:r>
              <w:rPr>
                <w:rFonts w:hint="eastAsia" w:ascii="宋体" w:hAnsi="宋体" w:cs="宋体"/>
                <w:kern w:val="0"/>
                <w:szCs w:val="21"/>
                <w:highlight w:val="none"/>
              </w:rPr>
              <w:t>。</w:t>
            </w:r>
          </w:p>
        </w:tc>
        <w:tc>
          <w:tcPr>
            <w:tcW w:w="1701" w:type="dxa"/>
            <w:tcBorders>
              <w:top w:val="nil"/>
              <w:left w:val="nil"/>
              <w:bottom w:val="single" w:color="auto" w:sz="4" w:space="0"/>
              <w:right w:val="single" w:color="auto" w:sz="4" w:space="0"/>
            </w:tcBorders>
            <w:vAlign w:val="center"/>
          </w:tcPr>
          <w:p w14:paraId="7EA330F9">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559" w:type="dxa"/>
            <w:tcBorders>
              <w:top w:val="nil"/>
              <w:left w:val="nil"/>
              <w:bottom w:val="single" w:color="auto" w:sz="4" w:space="0"/>
              <w:right w:val="single" w:color="auto" w:sz="4" w:space="0"/>
            </w:tcBorders>
            <w:vAlign w:val="center"/>
          </w:tcPr>
          <w:p w14:paraId="50E20D04">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709" w:type="dxa"/>
            <w:tcBorders>
              <w:top w:val="nil"/>
              <w:left w:val="nil"/>
              <w:bottom w:val="single" w:color="auto" w:sz="4" w:space="0"/>
              <w:right w:val="nil"/>
            </w:tcBorders>
            <w:vAlign w:val="center"/>
          </w:tcPr>
          <w:p w14:paraId="68A57916">
            <w:pPr>
              <w:widowControl/>
              <w:jc w:val="left"/>
              <w:rPr>
                <w:rFonts w:ascii="宋体" w:hAnsi="宋体" w:cs="宋体"/>
                <w:kern w:val="0"/>
                <w:szCs w:val="21"/>
                <w:highlight w:val="none"/>
              </w:rPr>
            </w:pPr>
            <w:r>
              <w:rPr>
                <w:rFonts w:hint="eastAsia" w:ascii="宋体" w:hAnsi="宋体" w:cs="宋体"/>
                <w:kern w:val="0"/>
                <w:szCs w:val="21"/>
                <w:highlight w:val="none"/>
              </w:rPr>
              <w:t>　</w:t>
            </w:r>
          </w:p>
        </w:tc>
      </w:tr>
      <w:tr w14:paraId="785F264E">
        <w:tblPrEx>
          <w:tblCellMar>
            <w:top w:w="0" w:type="dxa"/>
            <w:left w:w="108" w:type="dxa"/>
            <w:bottom w:w="0" w:type="dxa"/>
            <w:right w:w="108" w:type="dxa"/>
          </w:tblCellMar>
        </w:tblPrEx>
        <w:trPr>
          <w:trHeight w:val="540" w:hRule="atLeast"/>
          <w:jc w:val="center"/>
        </w:trPr>
        <w:tc>
          <w:tcPr>
            <w:tcW w:w="567" w:type="dxa"/>
            <w:tcBorders>
              <w:top w:val="nil"/>
              <w:left w:val="nil"/>
              <w:bottom w:val="single" w:color="auto" w:sz="4" w:space="0"/>
              <w:right w:val="single" w:color="auto" w:sz="4" w:space="0"/>
            </w:tcBorders>
            <w:vAlign w:val="center"/>
          </w:tcPr>
          <w:p w14:paraId="0E01DBF6">
            <w:pPr>
              <w:widowControl/>
              <w:jc w:val="center"/>
              <w:rPr>
                <w:rFonts w:ascii="宋体" w:hAnsi="宋体" w:cs="宋体"/>
                <w:kern w:val="0"/>
                <w:szCs w:val="21"/>
                <w:highlight w:val="none"/>
              </w:rPr>
            </w:pPr>
            <w:r>
              <w:rPr>
                <w:rFonts w:hint="eastAsia" w:ascii="宋体" w:hAnsi="宋体" w:cs="宋体"/>
                <w:kern w:val="0"/>
                <w:szCs w:val="21"/>
                <w:highlight w:val="none"/>
              </w:rPr>
              <w:t>7</w:t>
            </w:r>
          </w:p>
        </w:tc>
        <w:tc>
          <w:tcPr>
            <w:tcW w:w="4820" w:type="dxa"/>
            <w:tcBorders>
              <w:top w:val="nil"/>
              <w:left w:val="nil"/>
              <w:bottom w:val="single" w:color="auto" w:sz="4" w:space="0"/>
              <w:right w:val="single" w:color="auto" w:sz="4" w:space="0"/>
            </w:tcBorders>
            <w:vAlign w:val="center"/>
          </w:tcPr>
          <w:p w14:paraId="369E5E29">
            <w:pPr>
              <w:widowControl/>
              <w:jc w:val="left"/>
              <w:rPr>
                <w:rFonts w:ascii="宋体" w:hAnsi="宋体" w:cs="宋体"/>
                <w:kern w:val="0"/>
                <w:szCs w:val="21"/>
                <w:highlight w:val="none"/>
              </w:rPr>
            </w:pPr>
            <w:r>
              <w:rPr>
                <w:rFonts w:hint="eastAsia" w:ascii="宋体" w:hAnsi="宋体"/>
                <w:szCs w:val="21"/>
                <w:highlight w:val="none"/>
              </w:rPr>
              <w:t>本单位、本单位法定代表人（单位负责人）</w:t>
            </w:r>
            <w:r>
              <w:rPr>
                <w:rFonts w:hint="eastAsia" w:ascii="宋体" w:hAnsi="宋体" w:cs="宋体"/>
                <w:color w:val="000000" w:themeColor="text1"/>
                <w:szCs w:val="21"/>
                <w:highlight w:val="none"/>
                <w14:textFill>
                  <w14:solidFill>
                    <w14:schemeClr w14:val="tx1"/>
                  </w14:solidFill>
                </w14:textFill>
              </w:rPr>
              <w:t>、拟委任的项目负责人</w:t>
            </w:r>
            <w:r>
              <w:rPr>
                <w:rFonts w:hint="eastAsia" w:ascii="宋体" w:hAnsi="宋体"/>
                <w:highlight w:val="none"/>
              </w:rPr>
              <w:t>（如采购文件要求委任项目负责人）</w:t>
            </w:r>
            <w:r>
              <w:rPr>
                <w:rFonts w:hint="eastAsia" w:ascii="宋体" w:hAnsi="宋体"/>
                <w:szCs w:val="21"/>
                <w:highlight w:val="none"/>
              </w:rPr>
              <w:t>在</w:t>
            </w:r>
            <w:r>
              <w:rPr>
                <w:rFonts w:hint="default" w:ascii="宋体" w:hAnsi="宋体"/>
                <w:szCs w:val="21"/>
                <w:highlight w:val="none"/>
              </w:rPr>
              <w:t>应答</w:t>
            </w:r>
            <w:r>
              <w:rPr>
                <w:rFonts w:hint="eastAsia" w:ascii="宋体" w:hAnsi="宋体"/>
                <w:szCs w:val="21"/>
                <w:highlight w:val="none"/>
              </w:rPr>
              <w:t>截止日前三年内存在行贿犯罪记录</w:t>
            </w:r>
          </w:p>
        </w:tc>
        <w:tc>
          <w:tcPr>
            <w:tcW w:w="1701" w:type="dxa"/>
            <w:tcBorders>
              <w:top w:val="nil"/>
              <w:left w:val="nil"/>
              <w:bottom w:val="single" w:color="auto" w:sz="4" w:space="0"/>
              <w:right w:val="single" w:color="auto" w:sz="4" w:space="0"/>
            </w:tcBorders>
            <w:vAlign w:val="center"/>
          </w:tcPr>
          <w:p w14:paraId="6FACA79A">
            <w:pPr>
              <w:widowControl/>
              <w:jc w:val="left"/>
              <w:rPr>
                <w:rFonts w:ascii="宋体" w:hAnsi="宋体" w:cs="宋体"/>
                <w:kern w:val="0"/>
                <w:szCs w:val="21"/>
                <w:highlight w:val="none"/>
              </w:rPr>
            </w:pPr>
          </w:p>
        </w:tc>
        <w:tc>
          <w:tcPr>
            <w:tcW w:w="1559" w:type="dxa"/>
            <w:tcBorders>
              <w:top w:val="nil"/>
              <w:left w:val="nil"/>
              <w:bottom w:val="single" w:color="auto" w:sz="4" w:space="0"/>
              <w:right w:val="single" w:color="auto" w:sz="4" w:space="0"/>
            </w:tcBorders>
            <w:vAlign w:val="center"/>
          </w:tcPr>
          <w:p w14:paraId="5B575DB6">
            <w:pPr>
              <w:widowControl/>
              <w:jc w:val="left"/>
              <w:rPr>
                <w:rFonts w:ascii="宋体" w:hAnsi="宋体" w:cs="宋体"/>
                <w:kern w:val="0"/>
                <w:szCs w:val="21"/>
                <w:highlight w:val="none"/>
              </w:rPr>
            </w:pPr>
          </w:p>
        </w:tc>
        <w:tc>
          <w:tcPr>
            <w:tcW w:w="709" w:type="dxa"/>
            <w:tcBorders>
              <w:top w:val="nil"/>
              <w:left w:val="nil"/>
              <w:bottom w:val="single" w:color="auto" w:sz="4" w:space="0"/>
              <w:right w:val="nil"/>
            </w:tcBorders>
            <w:vAlign w:val="center"/>
          </w:tcPr>
          <w:p w14:paraId="530B371C">
            <w:pPr>
              <w:widowControl/>
              <w:jc w:val="center"/>
              <w:rPr>
                <w:rFonts w:ascii="宋体" w:hAnsi="宋体" w:cs="宋体"/>
                <w:kern w:val="0"/>
                <w:szCs w:val="21"/>
                <w:highlight w:val="none"/>
              </w:rPr>
            </w:pPr>
          </w:p>
        </w:tc>
      </w:tr>
      <w:tr w14:paraId="0A91AFDD">
        <w:tblPrEx>
          <w:tblCellMar>
            <w:top w:w="0" w:type="dxa"/>
            <w:left w:w="108" w:type="dxa"/>
            <w:bottom w:w="0" w:type="dxa"/>
            <w:right w:w="108" w:type="dxa"/>
          </w:tblCellMar>
        </w:tblPrEx>
        <w:trPr>
          <w:trHeight w:val="1254" w:hRule="atLeast"/>
          <w:jc w:val="center"/>
        </w:trPr>
        <w:tc>
          <w:tcPr>
            <w:tcW w:w="9356" w:type="dxa"/>
            <w:gridSpan w:val="5"/>
            <w:tcBorders>
              <w:top w:val="single" w:color="auto" w:sz="4" w:space="0"/>
              <w:left w:val="nil"/>
              <w:bottom w:val="double" w:color="auto" w:sz="4" w:space="0"/>
            </w:tcBorders>
            <w:vAlign w:val="center"/>
          </w:tcPr>
          <w:p w14:paraId="5F30DB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kern w:val="0"/>
                <w:szCs w:val="21"/>
                <w:highlight w:val="none"/>
              </w:rPr>
            </w:pPr>
            <w:r>
              <w:rPr>
                <w:rFonts w:hint="eastAsia" w:ascii="宋体" w:hAnsi="宋体" w:cs="宋体"/>
                <w:kern w:val="0"/>
                <w:szCs w:val="21"/>
                <w:highlight w:val="none"/>
              </w:rPr>
              <w:t>填表说明：</w:t>
            </w:r>
          </w:p>
          <w:p w14:paraId="34F3577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宋体" w:hAnsi="宋体" w:cs="宋体"/>
                <w:kern w:val="0"/>
                <w:szCs w:val="21"/>
                <w:highlight w:val="none"/>
              </w:rPr>
            </w:pPr>
            <w:r>
              <w:rPr>
                <w:rFonts w:hint="eastAsia" w:ascii="宋体" w:hAnsi="宋体" w:cs="宋体"/>
                <w:kern w:val="0"/>
                <w:szCs w:val="21"/>
                <w:highlight w:val="none"/>
              </w:rPr>
              <w:t>1.请应答人根据实际情况据实填写；</w:t>
            </w:r>
          </w:p>
          <w:p w14:paraId="22B10558">
            <w:pPr>
              <w:pStyle w:val="29"/>
              <w:keepNext w:val="0"/>
              <w:keepLines w:val="0"/>
              <w:pageBreakBefore w:val="0"/>
              <w:widowControl/>
              <w:kinsoku/>
              <w:wordWrap/>
              <w:overflowPunct/>
              <w:topLinePunct w:val="0"/>
              <w:autoSpaceDE/>
              <w:autoSpaceDN/>
              <w:bidi w:val="0"/>
              <w:adjustRightInd/>
              <w:snapToGrid/>
              <w:spacing w:line="240" w:lineRule="auto"/>
              <w:ind w:left="420" w:firstLine="0" w:firstLineChars="0"/>
              <w:jc w:val="left"/>
              <w:textAlignment w:val="auto"/>
              <w:rPr>
                <w:rFonts w:ascii="宋体" w:hAnsi="宋体" w:cs="宋体"/>
                <w:kern w:val="0"/>
                <w:szCs w:val="21"/>
                <w:highlight w:val="none"/>
              </w:rPr>
            </w:pPr>
            <w:r>
              <w:rPr>
                <w:rFonts w:hint="eastAsia" w:ascii="宋体" w:hAnsi="宋体" w:cs="宋体"/>
                <w:kern w:val="0"/>
                <w:szCs w:val="21"/>
                <w:highlight w:val="none"/>
              </w:rPr>
              <w:t>2.请在“查询网站及网址”处写明查询来源(如有)；在“网站查询结果”处简要写明查询结果（填写“存在”或者“不存在”）；</w:t>
            </w:r>
          </w:p>
          <w:p w14:paraId="36DB49CF">
            <w:pPr>
              <w:pStyle w:val="29"/>
              <w:keepNext w:val="0"/>
              <w:keepLines w:val="0"/>
              <w:pageBreakBefore w:val="0"/>
              <w:widowControl/>
              <w:kinsoku/>
              <w:wordWrap/>
              <w:overflowPunct/>
              <w:topLinePunct w:val="0"/>
              <w:autoSpaceDE/>
              <w:autoSpaceDN/>
              <w:bidi w:val="0"/>
              <w:adjustRightInd/>
              <w:snapToGrid/>
              <w:spacing w:line="240" w:lineRule="auto"/>
              <w:ind w:left="420" w:firstLine="0" w:firstLineChars="0"/>
              <w:jc w:val="left"/>
              <w:textAlignment w:val="auto"/>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查询网站自动生成的报告或截图按照上表顺序依次附后。</w:t>
            </w:r>
          </w:p>
        </w:tc>
      </w:tr>
    </w:tbl>
    <w:p w14:paraId="2A62994F">
      <w:pPr>
        <w:bidi w:val="0"/>
      </w:pPr>
    </w:p>
    <w:p w14:paraId="3895151D">
      <w:pPr>
        <w:outlineLvl w:val="4"/>
        <w:rPr>
          <w:rFonts w:ascii="黑体" w:hAnsi="Arial" w:eastAsia="黑体"/>
          <w:b/>
          <w:color w:val="000000" w:themeColor="text1"/>
          <w:szCs w:val="21"/>
          <w:highlight w:val="none"/>
          <w14:textFill>
            <w14:solidFill>
              <w14:schemeClr w14:val="tx1"/>
            </w14:solidFill>
          </w14:textFill>
        </w:rPr>
      </w:pPr>
      <w:r>
        <w:rPr>
          <w:rFonts w:hint="eastAsia" w:ascii="黑体" w:eastAsia="黑体"/>
          <w:b/>
          <w:color w:val="000000" w:themeColor="text1"/>
          <w:sz w:val="24"/>
          <w:szCs w:val="24"/>
          <w:highlight w:val="none"/>
          <w:lang w:val="en-US" w:eastAsia="zh-CN"/>
          <w14:textFill>
            <w14:solidFill>
              <w14:schemeClr w14:val="tx1"/>
            </w14:solidFill>
          </w14:textFill>
        </w:rPr>
        <w:t>5.4</w:t>
      </w:r>
      <w:r>
        <w:rPr>
          <w:rFonts w:hint="eastAsia" w:ascii="黑体" w:eastAsia="黑体"/>
          <w:b/>
          <w:color w:val="000000" w:themeColor="text1"/>
          <w:sz w:val="24"/>
          <w:szCs w:val="24"/>
          <w:highlight w:val="none"/>
          <w14:textFill>
            <w14:solidFill>
              <w14:schemeClr w14:val="tx1"/>
            </w14:solidFill>
          </w14:textFill>
        </w:rPr>
        <w:t>查询报告及截图</w:t>
      </w:r>
    </w:p>
    <w:p w14:paraId="6E16EA2C">
      <w:pPr>
        <w:adjustRightInd w:val="0"/>
        <w:snapToGrid w:val="0"/>
        <w:spacing w:line="400" w:lineRule="exact"/>
        <w:ind w:firstLine="480" w:firstLineChars="200"/>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应答人需提供在“国家企业信用信息公示系统”（www.gsxt.gov.cn）、“信用中国”网站查询并生成报告或打印截图（查询日期应在</w:t>
      </w:r>
      <w:r>
        <w:rPr>
          <w:rFonts w:hint="default" w:ascii="宋体" w:hAnsi="宋体" w:cs="宋体"/>
          <w:color w:val="000000" w:themeColor="text1"/>
          <w:szCs w:val="21"/>
          <w:highlight w:val="none"/>
          <w14:textFill>
            <w14:solidFill>
              <w14:schemeClr w14:val="tx1"/>
            </w14:solidFill>
          </w14:textFill>
        </w:rPr>
        <w:t>应答</w:t>
      </w:r>
      <w:r>
        <w:rPr>
          <w:rFonts w:hint="eastAsia" w:ascii="宋体" w:hAnsi="宋体" w:cs="宋体"/>
          <w:color w:val="000000" w:themeColor="text1"/>
          <w:szCs w:val="21"/>
          <w:highlight w:val="none"/>
          <w14:textFill>
            <w14:solidFill>
              <w14:schemeClr w14:val="tx1"/>
            </w14:solidFill>
          </w14:textFill>
        </w:rPr>
        <w:t>截止日前7天内，查询结果应为网站自动生成的PDF文件的电子版）。</w:t>
      </w:r>
      <w:r>
        <w:rPr>
          <w:rFonts w:hint="eastAsia" w:ascii="宋体" w:hAnsi="宋体" w:cs="宋体"/>
          <w:szCs w:val="21"/>
          <w:highlight w:val="none"/>
        </w:rPr>
        <w:t>（无法在此系统查询到的应答人（如律师事务所）无需提供）</w:t>
      </w:r>
    </w:p>
    <w:p w14:paraId="701EC042">
      <w:pPr>
        <w:pStyle w:val="14"/>
        <w:rPr>
          <w:highlight w:val="none"/>
        </w:rPr>
      </w:pPr>
      <w:r>
        <w:rPr>
          <w:rFonts w:hint="eastAsia" w:ascii="宋体" w:hAnsi="宋体" w:cs="宋体"/>
          <w:color w:val="000000" w:themeColor="text1"/>
          <w:szCs w:val="21"/>
          <w:highlight w:val="none"/>
          <w14:textFill>
            <w14:solidFill>
              <w14:schemeClr w14:val="tx1"/>
            </w14:solidFill>
          </w14:textFill>
        </w:rPr>
        <w:t>“国家企业信用信息公示系统”（www.gsxt.gov.cn）生成的报告截图，应包含报告首页、营业执照信息、股东及出资信息、行政处罚信息、“列入严重违法失信企业名单（黑名单）”、“列入经营异常名录信息”、“清算信息”的查询结果。</w:t>
      </w:r>
    </w:p>
    <w:p w14:paraId="7867941F">
      <w:pPr>
        <w:pStyle w:val="14"/>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“信用中国”网站下载的信用信用信息报告截图，应包括报告首页、</w:t>
      </w:r>
      <w:r>
        <w:rPr>
          <w:rFonts w:hint="eastAsia" w:ascii="宋体" w:hAnsi="宋体" w:cs="宋体"/>
          <w:szCs w:val="21"/>
          <w:highlight w:val="none"/>
        </w:rPr>
        <w:t>行政管理信息中的</w:t>
      </w:r>
      <w:r>
        <w:rPr>
          <w:rFonts w:hint="eastAsia" w:ascii="宋体" w:hAnsi="宋体" w:cs="宋体"/>
          <w:b/>
          <w:bCs/>
          <w:szCs w:val="21"/>
          <w:highlight w:val="none"/>
        </w:rPr>
        <w:t>全部行政处罚</w:t>
      </w:r>
      <w:r>
        <w:rPr>
          <w:rFonts w:hint="eastAsia" w:ascii="宋体" w:hAnsi="宋体" w:cs="宋体"/>
          <w:szCs w:val="21"/>
          <w:highlight w:val="none"/>
        </w:rPr>
        <w:t>、</w:t>
      </w:r>
      <w:r>
        <w:rPr>
          <w:rFonts w:hint="eastAsia" w:ascii="宋体" w:hAnsi="宋体" w:cs="宋体"/>
          <w:b/>
          <w:bCs/>
          <w:szCs w:val="21"/>
          <w:highlight w:val="none"/>
        </w:rPr>
        <w:t>严重失信信息</w:t>
      </w:r>
      <w:r>
        <w:rPr>
          <w:rFonts w:hint="eastAsia" w:ascii="宋体" w:hAnsi="宋体" w:cs="宋体"/>
          <w:szCs w:val="21"/>
          <w:highlight w:val="none"/>
        </w:rPr>
        <w:t>、</w:t>
      </w:r>
      <w:r>
        <w:rPr>
          <w:rFonts w:hint="eastAsia" w:ascii="宋体" w:hAnsi="宋体" w:cs="宋体"/>
          <w:b/>
          <w:bCs/>
          <w:szCs w:val="21"/>
          <w:highlight w:val="none"/>
        </w:rPr>
        <w:t>经营（活动）异常名录（状态）信息。</w:t>
      </w:r>
    </w:p>
    <w:p w14:paraId="5749952A">
      <w:pPr>
        <w:adjustRightInd w:val="0"/>
        <w:snapToGrid w:val="0"/>
        <w:spacing w:line="400" w:lineRule="exact"/>
        <w:rPr>
          <w:rFonts w:hint="eastAsia" w:ascii="宋体" w:hAnsi="宋体"/>
          <w:color w:val="000000" w:themeColor="text1"/>
          <w:highlight w:val="none"/>
          <w:lang w:val="en-US" w:eastAsia="zh-CN"/>
          <w14:textFill>
            <w14:solidFill>
              <w14:schemeClr w14:val="tx1"/>
            </w14:solidFill>
          </w14:textFill>
        </w:rPr>
      </w:pPr>
    </w:p>
    <w:p w14:paraId="484A34DB">
      <w:pPr>
        <w:adjustRightInd w:val="0"/>
        <w:snapToGrid w:val="0"/>
        <w:spacing w:line="40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szCs w:val="21"/>
          <w:highlight w:val="none"/>
          <w:lang w:eastAsia="zh-CN"/>
        </w:rPr>
        <w:t>　　</w:t>
      </w:r>
    </w:p>
    <w:p w14:paraId="58A95FBB">
      <w:pPr>
        <w:pStyle w:val="14"/>
        <w:rPr>
          <w:highlight w:val="none"/>
        </w:rPr>
      </w:pPr>
    </w:p>
    <w:p w14:paraId="5DE4329D">
      <w:pPr>
        <w:rPr>
          <w:highlight w:val="none"/>
        </w:rPr>
      </w:pPr>
      <w:r>
        <w:rPr>
          <w:highlight w:val="none"/>
        </w:rPr>
        <w:br w:type="page"/>
      </w:r>
    </w:p>
    <w:p w14:paraId="290271FC">
      <w:pPr>
        <w:adjustRightInd w:val="0"/>
        <w:snapToGrid w:val="0"/>
        <w:spacing w:line="400" w:lineRule="exact"/>
        <w:outlineLvl w:val="9"/>
        <w:rPr>
          <w:rFonts w:hint="eastAsia" w:ascii="黑体" w:eastAsia="黑体"/>
          <w:b/>
          <w:color w:val="000000" w:themeColor="text1"/>
          <w:sz w:val="24"/>
          <w:szCs w:val="24"/>
          <w:highlight w:val="none"/>
          <w14:textFill>
            <w14:solidFill>
              <w14:schemeClr w14:val="tx1"/>
            </w14:solidFill>
          </w14:textFill>
        </w:rPr>
      </w:pPr>
      <w:r>
        <w:rPr>
          <w:rFonts w:hint="eastAsia" w:ascii="黑体" w:eastAsia="黑体"/>
          <w:b/>
          <w:color w:val="000000" w:themeColor="text1"/>
          <w:sz w:val="24"/>
          <w:szCs w:val="24"/>
          <w:highlight w:val="none"/>
          <w14:textFill>
            <w14:solidFill>
              <w14:schemeClr w14:val="tx1"/>
            </w14:solidFill>
          </w14:textFill>
        </w:rPr>
        <w:t>6</w:t>
      </w:r>
      <w:r>
        <w:rPr>
          <w:rFonts w:ascii="黑体" w:eastAsia="黑体"/>
          <w:b/>
          <w:color w:val="000000" w:themeColor="text1"/>
          <w:sz w:val="24"/>
          <w:szCs w:val="24"/>
          <w:highlight w:val="none"/>
          <w14:textFill>
            <w14:solidFill>
              <w14:schemeClr w14:val="tx1"/>
            </w14:solidFill>
          </w14:textFill>
        </w:rPr>
        <w:t>.</w:t>
      </w:r>
      <w:r>
        <w:rPr>
          <w:rFonts w:hint="eastAsia" w:ascii="黑体" w:eastAsia="黑体"/>
          <w:b/>
          <w:color w:val="000000" w:themeColor="text1"/>
          <w:sz w:val="24"/>
          <w:szCs w:val="24"/>
          <w:highlight w:val="none"/>
          <w14:textFill>
            <w14:solidFill>
              <w14:schemeClr w14:val="tx1"/>
            </w14:solidFill>
          </w14:textFill>
        </w:rPr>
        <w:t>企业名称变更（如有，凡资格业绩等证明文件中的公司名称与应答人名称不一致的，应提供应答人自述的企业名称变更原因说明、市场监督管理部门出具的‘名称变更证明’等相关证明材料）</w:t>
      </w:r>
    </w:p>
    <w:p w14:paraId="41259D00">
      <w:pPr>
        <w:rPr>
          <w:rFonts w:hint="eastAsia" w:ascii="黑体" w:eastAsia="黑体"/>
          <w:b/>
          <w:color w:val="000000" w:themeColor="text1"/>
          <w:sz w:val="24"/>
          <w:szCs w:val="24"/>
          <w:highlight w:val="none"/>
          <w14:textFill>
            <w14:solidFill>
              <w14:schemeClr w14:val="tx1"/>
            </w14:solidFill>
          </w14:textFill>
        </w:rPr>
      </w:pPr>
    </w:p>
    <w:p w14:paraId="3EB87E96">
      <w:pPr>
        <w:rPr>
          <w:rFonts w:hint="default"/>
        </w:rPr>
      </w:pPr>
      <w:r>
        <w:rPr>
          <w:rFonts w:hint="default"/>
        </w:rPr>
        <w:br w:type="page"/>
      </w:r>
    </w:p>
    <w:p w14:paraId="695C8385">
      <w:pPr>
        <w:pStyle w:val="5"/>
        <w:spacing w:after="0" w:line="400" w:lineRule="exact"/>
        <w:outlineLvl w:val="3"/>
        <w:rPr>
          <w:rFonts w:ascii="黑体" w:hAnsi="Calibri" w:eastAsia="黑体"/>
          <w:b/>
          <w:sz w:val="24"/>
          <w:highlight w:val="none"/>
        </w:rPr>
      </w:pPr>
      <w:r>
        <w:rPr>
          <w:rFonts w:hint="default" w:ascii="黑体" w:hAnsi="Calibri" w:eastAsia="黑体"/>
          <w:b/>
          <w:sz w:val="24"/>
          <w:highlight w:val="none"/>
        </w:rPr>
        <w:t>7</w:t>
      </w:r>
      <w:r>
        <w:rPr>
          <w:rFonts w:hint="eastAsia" w:ascii="黑体" w:hAnsi="Calibri" w:eastAsia="黑体"/>
          <w:b/>
          <w:sz w:val="24"/>
          <w:highlight w:val="none"/>
        </w:rPr>
        <w:t>.公章对投标专用章授权书（应答文件中使用投标专用章的，应附公章对投标专用章授权书，否则无需提交）</w:t>
      </w:r>
    </w:p>
    <w:p w14:paraId="171B2F67">
      <w:pPr>
        <w:spacing w:line="400" w:lineRule="exact"/>
        <w:ind w:firstLine="562" w:firstLineChars="200"/>
        <w:jc w:val="center"/>
        <w:rPr>
          <w:rFonts w:eastAsia="黑体"/>
          <w:b/>
          <w:sz w:val="28"/>
          <w:szCs w:val="28"/>
          <w:highlight w:val="none"/>
        </w:rPr>
      </w:pPr>
    </w:p>
    <w:p w14:paraId="3E1004A3">
      <w:pPr>
        <w:spacing w:line="400" w:lineRule="exact"/>
        <w:ind w:firstLine="562" w:firstLineChars="200"/>
        <w:jc w:val="center"/>
        <w:rPr>
          <w:rFonts w:eastAsia="黑体"/>
          <w:b/>
          <w:sz w:val="28"/>
          <w:szCs w:val="28"/>
          <w:highlight w:val="none"/>
        </w:rPr>
      </w:pPr>
      <w:r>
        <w:rPr>
          <w:rFonts w:hint="eastAsia" w:eastAsia="黑体"/>
          <w:b/>
          <w:sz w:val="28"/>
          <w:szCs w:val="28"/>
          <w:highlight w:val="none"/>
        </w:rPr>
        <w:t>公章对投标专用章授权书</w:t>
      </w:r>
    </w:p>
    <w:p w14:paraId="778472B6">
      <w:pPr>
        <w:pStyle w:val="9"/>
        <w:spacing w:line="400" w:lineRule="exact"/>
        <w:ind w:firstLine="422"/>
        <w:rPr>
          <w:rFonts w:hAnsi="宋体" w:cs="宋体"/>
          <w:b/>
          <w:bCs/>
          <w:highlight w:val="none"/>
        </w:rPr>
      </w:pPr>
    </w:p>
    <w:p w14:paraId="797AC71C">
      <w:pPr>
        <w:pStyle w:val="9"/>
        <w:adjustRightInd w:val="0"/>
        <w:snapToGrid w:val="0"/>
        <w:spacing w:line="400" w:lineRule="exact"/>
        <w:ind w:firstLine="482" w:firstLineChars="200"/>
        <w:rPr>
          <w:rFonts w:hAnsi="宋体" w:cs="宋体"/>
          <w:b/>
          <w:highlight w:val="none"/>
        </w:rPr>
      </w:pPr>
      <w:r>
        <w:rPr>
          <w:rFonts w:hint="eastAsia" w:hAnsi="宋体" w:cs="宋体"/>
          <w:b/>
          <w:bCs/>
          <w:highlight w:val="none"/>
        </w:rPr>
        <w:t>致：</w:t>
      </w:r>
      <w:r>
        <w:rPr>
          <w:rFonts w:hint="eastAsia" w:hAnsi="宋体" w:cs="宋体"/>
          <w:bCs/>
          <w:highlight w:val="none"/>
          <w:u w:val="single"/>
        </w:rPr>
        <w:t>采购人</w:t>
      </w:r>
    </w:p>
    <w:p w14:paraId="578DDC4B">
      <w:pPr>
        <w:pStyle w:val="9"/>
        <w:adjustRightInd w:val="0"/>
        <w:snapToGrid w:val="0"/>
        <w:spacing w:line="400" w:lineRule="exact"/>
        <w:ind w:firstLine="480" w:firstLineChars="200"/>
        <w:rPr>
          <w:rFonts w:hAnsi="宋体" w:cs="宋体"/>
          <w:bCs/>
          <w:highlight w:val="none"/>
        </w:rPr>
      </w:pPr>
      <w:r>
        <w:rPr>
          <w:rFonts w:hint="eastAsia" w:hAnsi="宋体" w:cs="宋体"/>
          <w:bCs/>
          <w:highlight w:val="none"/>
        </w:rPr>
        <w:t>很荣幸能参与</w:t>
      </w:r>
      <w:r>
        <w:rPr>
          <w:rFonts w:hAnsi="宋体" w:cs="宋体"/>
          <w:bCs/>
          <w:highlight w:val="none"/>
          <w:u w:val="single"/>
        </w:rPr>
        <w:t>XX项目</w:t>
      </w:r>
      <w:r>
        <w:rPr>
          <w:rFonts w:hint="eastAsia" w:hAnsi="宋体" w:cs="宋体"/>
          <w:highlight w:val="none"/>
        </w:rPr>
        <w:t>，采购编号</w:t>
      </w:r>
      <w:r>
        <w:rPr>
          <w:rFonts w:hAnsi="宋体" w:cs="宋体"/>
          <w:highlight w:val="none"/>
        </w:rPr>
        <w:t>:</w:t>
      </w:r>
      <w:r>
        <w:rPr>
          <w:rFonts w:hAnsi="宋体" w:cs="宋体"/>
          <w:highlight w:val="none"/>
          <w:u w:val="single"/>
        </w:rPr>
        <w:t>XX</w:t>
      </w:r>
      <w:r>
        <w:rPr>
          <w:rFonts w:hint="eastAsia" w:hAnsi="宋体" w:cs="宋体"/>
          <w:bCs/>
          <w:highlight w:val="none"/>
        </w:rPr>
        <w:t>的应答。</w:t>
      </w:r>
    </w:p>
    <w:p w14:paraId="3BC6739A">
      <w:pPr>
        <w:pStyle w:val="9"/>
        <w:adjustRightInd w:val="0"/>
        <w:snapToGrid w:val="0"/>
        <w:spacing w:line="400" w:lineRule="exact"/>
        <w:ind w:firstLine="480" w:firstLineChars="200"/>
        <w:rPr>
          <w:rFonts w:hAnsi="宋体" w:cs="宋体"/>
          <w:bCs/>
          <w:highlight w:val="none"/>
        </w:rPr>
      </w:pPr>
      <w:r>
        <w:rPr>
          <w:rFonts w:hint="eastAsia" w:hAnsi="宋体" w:cs="宋体"/>
          <w:bCs/>
          <w:highlight w:val="none"/>
        </w:rPr>
        <w:t>我代表公司</w:t>
      </w:r>
      <w:r>
        <w:rPr>
          <w:rFonts w:hAnsi="宋体" w:cs="宋体"/>
          <w:bCs/>
          <w:highlight w:val="none"/>
          <w:u w:val="single"/>
        </w:rPr>
        <w:t>(</w:t>
      </w:r>
      <w:r>
        <w:rPr>
          <w:rFonts w:hint="eastAsia" w:hAnsi="宋体" w:cs="宋体"/>
          <w:bCs/>
          <w:highlight w:val="none"/>
          <w:u w:val="single"/>
        </w:rPr>
        <w:t>应答</w:t>
      </w:r>
      <w:r>
        <w:rPr>
          <w:rFonts w:hAnsi="宋体" w:cs="宋体"/>
          <w:bCs/>
          <w:highlight w:val="none"/>
          <w:u w:val="single"/>
        </w:rPr>
        <w:t>人）</w:t>
      </w:r>
      <w:r>
        <w:rPr>
          <w:rFonts w:hAnsi="宋体" w:cs="宋体"/>
          <w:bCs/>
          <w:highlight w:val="none"/>
        </w:rPr>
        <w:t>，在此作如下说明：</w:t>
      </w:r>
    </w:p>
    <w:p w14:paraId="14C5F788">
      <w:pPr>
        <w:adjustRightInd w:val="0"/>
        <w:snapToGrid w:val="0"/>
        <w:spacing w:line="400" w:lineRule="exact"/>
        <w:ind w:firstLine="480" w:firstLineChars="200"/>
        <w:rPr>
          <w:rFonts w:ascii="宋体" w:hAnsi="宋体" w:cs="宋体"/>
          <w:szCs w:val="21"/>
          <w:highlight w:val="none"/>
        </w:rPr>
      </w:pPr>
      <w:r>
        <w:rPr>
          <w:rFonts w:hint="eastAsia" w:ascii="宋体" w:hAnsi="宋体" w:cs="宋体"/>
          <w:szCs w:val="21"/>
          <w:highlight w:val="none"/>
        </w:rPr>
        <w:t>在此次</w:t>
      </w:r>
      <w:r>
        <w:rPr>
          <w:rFonts w:hint="eastAsia" w:hAnsi="宋体" w:cs="宋体"/>
          <w:bCs/>
          <w:highlight w:val="none"/>
        </w:rPr>
        <w:t>应答</w:t>
      </w:r>
      <w:r>
        <w:rPr>
          <w:rFonts w:hint="eastAsia" w:ascii="宋体" w:hAnsi="宋体" w:cs="宋体"/>
          <w:szCs w:val="21"/>
          <w:highlight w:val="none"/>
        </w:rPr>
        <w:t>中，所用“投标专用章”与我方公章具有同等的效力。特此说明。</w:t>
      </w:r>
    </w:p>
    <w:p w14:paraId="59DB4A87">
      <w:pPr>
        <w:adjustRightInd w:val="0"/>
        <w:snapToGrid w:val="0"/>
        <w:spacing w:line="400" w:lineRule="exact"/>
        <w:ind w:firstLine="480" w:firstLineChars="200"/>
        <w:rPr>
          <w:rFonts w:hAnsi="宋体" w:cs="宋体"/>
          <w:bCs/>
          <w:highlight w:val="none"/>
        </w:rPr>
      </w:pPr>
    </w:p>
    <w:p w14:paraId="1BD62AC6">
      <w:pPr>
        <w:adjustRightInd w:val="0"/>
        <w:snapToGrid w:val="0"/>
        <w:spacing w:line="400" w:lineRule="exact"/>
        <w:ind w:firstLine="480" w:firstLineChars="200"/>
        <w:jc w:val="right"/>
        <w:rPr>
          <w:rFonts w:hAnsi="宋体" w:cs="宋体"/>
          <w:bCs/>
          <w:highlight w:val="none"/>
        </w:rPr>
      </w:pPr>
    </w:p>
    <w:p w14:paraId="56CB9F2B">
      <w:pPr>
        <w:adjustRightInd w:val="0"/>
        <w:snapToGrid w:val="0"/>
        <w:spacing w:line="400" w:lineRule="exact"/>
        <w:ind w:firstLine="480" w:firstLineChars="200"/>
        <w:jc w:val="right"/>
        <w:rPr>
          <w:rFonts w:ascii="宋体" w:hAnsi="宋体"/>
          <w:szCs w:val="21"/>
          <w:highlight w:val="none"/>
        </w:rPr>
      </w:pPr>
      <w:r>
        <w:rPr>
          <w:rFonts w:hint="eastAsia" w:hAnsi="宋体" w:cs="宋体"/>
          <w:bCs/>
          <w:highlight w:val="none"/>
        </w:rPr>
        <w:t>应答</w:t>
      </w:r>
      <w:r>
        <w:rPr>
          <w:rFonts w:hint="eastAsia" w:ascii="宋体" w:hAnsi="宋体"/>
          <w:szCs w:val="21"/>
          <w:highlight w:val="none"/>
        </w:rPr>
        <w:t>人名称：盖章（盖单位公章）</w:t>
      </w:r>
    </w:p>
    <w:p w14:paraId="5235458E">
      <w:pPr>
        <w:adjustRightInd w:val="0"/>
        <w:snapToGrid w:val="0"/>
        <w:spacing w:line="400" w:lineRule="exact"/>
        <w:ind w:firstLine="480" w:firstLineChars="200"/>
        <w:jc w:val="right"/>
        <w:rPr>
          <w:rFonts w:ascii="宋体" w:hAnsi="宋体"/>
          <w:szCs w:val="21"/>
          <w:highlight w:val="none"/>
        </w:rPr>
      </w:pPr>
    </w:p>
    <w:p w14:paraId="28E2F70A">
      <w:pPr>
        <w:adjustRightInd w:val="0"/>
        <w:snapToGrid w:val="0"/>
        <w:spacing w:line="400" w:lineRule="exact"/>
        <w:ind w:firstLine="480" w:firstLineChars="200"/>
        <w:jc w:val="right"/>
        <w:rPr>
          <w:rFonts w:ascii="宋体" w:hAnsi="宋体"/>
          <w:szCs w:val="21"/>
          <w:highlight w:val="none"/>
        </w:rPr>
      </w:pPr>
      <w:r>
        <w:rPr>
          <w:rFonts w:hint="eastAsia" w:ascii="宋体" w:hAnsi="宋体"/>
          <w:szCs w:val="21"/>
          <w:highlight w:val="none"/>
        </w:rPr>
        <w:t>日期：年月日</w:t>
      </w:r>
    </w:p>
    <w:p w14:paraId="2391CC71">
      <w:pPr>
        <w:spacing w:line="400" w:lineRule="exact"/>
        <w:ind w:firstLine="480" w:firstLineChars="200"/>
        <w:rPr>
          <w:rFonts w:ascii="宋体" w:hAnsi="宋体"/>
          <w:szCs w:val="21"/>
          <w:highlight w:val="none"/>
        </w:rPr>
      </w:pPr>
    </w:p>
    <w:p w14:paraId="20DC2B7E">
      <w:pPr>
        <w:spacing w:line="400" w:lineRule="exact"/>
        <w:ind w:firstLine="480" w:firstLineChars="200"/>
        <w:rPr>
          <w:rFonts w:ascii="宋体" w:hAnsi="宋体"/>
          <w:szCs w:val="21"/>
          <w:highlight w:val="none"/>
        </w:rPr>
      </w:pPr>
    </w:p>
    <w:p w14:paraId="7194A503">
      <w:pPr>
        <w:spacing w:line="400" w:lineRule="exact"/>
        <w:ind w:firstLine="480" w:firstLineChars="200"/>
        <w:rPr>
          <w:rFonts w:ascii="宋体" w:hAnsi="宋体"/>
          <w:szCs w:val="21"/>
          <w:highlight w:val="none"/>
        </w:rPr>
      </w:pPr>
    </w:p>
    <w:p w14:paraId="43BC8A06">
      <w:pPr>
        <w:spacing w:line="400" w:lineRule="exact"/>
        <w:ind w:firstLine="480" w:firstLineChars="200"/>
        <w:rPr>
          <w:rFonts w:ascii="宋体" w:hAnsi="宋体"/>
          <w:szCs w:val="21"/>
          <w:highlight w:val="none"/>
        </w:rPr>
      </w:pPr>
    </w:p>
    <w:p w14:paraId="0DC20AF1">
      <w:pPr>
        <w:spacing w:line="400" w:lineRule="exact"/>
        <w:ind w:firstLine="600" w:firstLineChars="250"/>
        <w:rPr>
          <w:rFonts w:ascii="宋体" w:hAnsi="宋体"/>
          <w:szCs w:val="21"/>
          <w:highlight w:val="none"/>
        </w:rPr>
      </w:pPr>
      <w:r>
        <w:rPr>
          <w:rFonts w:hint="eastAsia" w:hAnsi="宋体" w:cs="宋体"/>
          <w:bCs/>
          <w:highlight w:val="none"/>
        </w:rPr>
        <w:t>应答</w:t>
      </w:r>
      <w:r>
        <w:rPr>
          <w:rFonts w:hint="eastAsia" w:ascii="宋体" w:hAnsi="宋体"/>
          <w:szCs w:val="21"/>
          <w:highlight w:val="none"/>
        </w:rPr>
        <w:t xml:space="preserve">人单位公章                                     </w:t>
      </w:r>
      <w:r>
        <w:rPr>
          <w:rFonts w:hint="eastAsia" w:hAnsi="宋体" w:cs="宋体"/>
          <w:bCs/>
          <w:highlight w:val="none"/>
        </w:rPr>
        <w:t>应答</w:t>
      </w:r>
      <w:r>
        <w:rPr>
          <w:rFonts w:hint="eastAsia" w:ascii="宋体" w:hAnsi="宋体"/>
          <w:szCs w:val="21"/>
          <w:highlight w:val="none"/>
        </w:rPr>
        <w:t>人投标专用章</w:t>
      </w:r>
    </w:p>
    <w:p w14:paraId="09C9D80B">
      <w:pPr>
        <w:ind w:firstLine="480" w:firstLineChars="200"/>
        <w:rPr>
          <w:highlight w:val="none"/>
        </w:rPr>
      </w:pPr>
      <w:r>
        <w:rPr>
          <w:rFonts w:cs="黑体"/>
          <w:highlight w:val="none"/>
        </w:rPr>
        <mc:AlternateContent>
          <mc:Choice Requires="wps">
            <w:drawing>
              <wp:anchor distT="0" distB="0" distL="114300" distR="114300" simplePos="0" relativeHeight="251659264" behindDoc="1" locked="0" layoutInCell="1" allowOverlap="1">
                <wp:simplePos x="0" y="0"/>
                <wp:positionH relativeFrom="column">
                  <wp:posOffset>285750</wp:posOffset>
                </wp:positionH>
                <wp:positionV relativeFrom="paragraph">
                  <wp:posOffset>177165</wp:posOffset>
                </wp:positionV>
                <wp:extent cx="2066925" cy="1762125"/>
                <wp:effectExtent l="4445" t="4445" r="8890" b="11430"/>
                <wp:wrapNone/>
                <wp:docPr id="2" name="矩形 2"/>
                <wp:cNvGraphicFramePr/>
                <a:graphic xmlns:a="http://schemas.openxmlformats.org/drawingml/2006/main">
                  <a:graphicData uri="http://schemas.microsoft.com/office/word/2010/wordprocessingShape">
                    <wps:wsp>
                      <wps:cNvSpPr/>
                      <wps:spPr>
                        <a:xfrm>
                          <a:off x="0" y="0"/>
                          <a:ext cx="2066925" cy="17621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5pt;margin-top:13.95pt;height:138.75pt;width:162.75pt;z-index:-251657216;mso-width-relative:page;mso-height-relative:page;" fillcolor="#FFFFFF" filled="t" stroked="t" coordsize="21600,21600" o:gfxdata="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mJgL2AAAAAkBAAAPAAAAAAAAAAEAIAAAACIAAABkcnMvZG93bnJl&#10;di54bWxQSwECFAAUAAAACACHTuJADvkzF/0BAAAtBAAADgAAAAAAAAABACAAAAAnAQAAZHJzL2Uy&#10;b0RvYy54bWxQSwUGAAAAAAYABgBZAQAAlgUAAAAA&#10;">
                <v:fill on="t" focussize="0,0"/>
                <v:stroke color="#000000" joinstyle="miter"/>
                <v:imagedata o:title=""/>
                <o:lock v:ext="edit" aspectratio="f"/>
              </v:rect>
            </w:pict>
          </mc:Fallback>
        </mc:AlternateContent>
      </w:r>
      <w:r>
        <w:rPr>
          <w:rFonts w:cs="黑体"/>
          <w:highlight w:val="none"/>
        </w:rPr>
        <mc:AlternateContent>
          <mc:Choice Requires="wps">
            <w:drawing>
              <wp:anchor distT="0" distB="0" distL="114300" distR="114300" simplePos="0" relativeHeight="251660288" behindDoc="1" locked="0" layoutInCell="1" allowOverlap="1">
                <wp:simplePos x="0" y="0"/>
                <wp:positionH relativeFrom="column">
                  <wp:posOffset>3581400</wp:posOffset>
                </wp:positionH>
                <wp:positionV relativeFrom="paragraph">
                  <wp:posOffset>177165</wp:posOffset>
                </wp:positionV>
                <wp:extent cx="1981200" cy="1819275"/>
                <wp:effectExtent l="5080" t="5080" r="5080" b="6985"/>
                <wp:wrapNone/>
                <wp:docPr id="3" name="矩形 3"/>
                <wp:cNvGraphicFramePr/>
                <a:graphic xmlns:a="http://schemas.openxmlformats.org/drawingml/2006/main">
                  <a:graphicData uri="http://schemas.microsoft.com/office/word/2010/wordprocessingShape">
                    <wps:wsp>
                      <wps:cNvSpPr/>
                      <wps:spPr>
                        <a:xfrm>
                          <a:off x="0" y="0"/>
                          <a:ext cx="1981200" cy="181927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82pt;margin-top:13.95pt;height:143.25pt;width:156pt;z-index:-251656192;mso-width-relative:page;mso-height-relative:page;" fillcolor="#FFFFFF" filled="t" stroked="t" coordsize="21600,21600" o:gfxdata="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pb8kbaAAAACgEAAA8AAAAAAAAAAQAgAAAAIgAAAGRycy9k&#10;b3ducmV2LnhtbFBLAQIUABQAAAAIAIdO4kDIuxooAAIAAC0EAAAOAAAAAAAAAAEAIAAAACkBAABk&#10;cnMvZTJvRG9jLnhtbFBLBQYAAAAABgAGAFkBAACbBQAAAAA=&#10;">
                <v:fill on="t" focussize="0,0"/>
                <v:stroke color="#000000" joinstyle="miter"/>
                <v:imagedata o:title=""/>
                <o:lock v:ext="edit" aspectratio="f"/>
              </v:rect>
            </w:pict>
          </mc:Fallback>
        </mc:AlternateContent>
      </w:r>
    </w:p>
    <w:p w14:paraId="1CD96F79">
      <w:pPr>
        <w:ind w:firstLine="720" w:firstLineChars="300"/>
        <w:rPr>
          <w:rFonts w:ascii="宋体"/>
          <w:color w:val="000000" w:themeColor="text1"/>
          <w:szCs w:val="21"/>
          <w:highlight w:val="none"/>
          <w14:textFill>
            <w14:solidFill>
              <w14:schemeClr w14:val="tx1"/>
            </w14:solidFill>
          </w14:textFill>
        </w:rPr>
      </w:pPr>
      <w:r>
        <w:rPr>
          <w:rFonts w:hint="eastAsia"/>
          <w:highlight w:val="none"/>
        </w:rPr>
        <w:t>印模                                              印模</w:t>
      </w:r>
    </w:p>
    <w:p w14:paraId="59DA2642">
      <w:pPr>
        <w:adjustRightInd w:val="0"/>
        <w:outlineLvl w:val="1"/>
        <w:rPr>
          <w:rFonts w:ascii="黑体" w:hAnsi="Arial" w:eastAsia="黑体"/>
          <w:b/>
          <w:sz w:val="24"/>
          <w:highlight w:val="none"/>
        </w:rPr>
        <w:sectPr>
          <w:pgSz w:w="11906" w:h="16838"/>
          <w:pgMar w:top="1440" w:right="1800" w:bottom="1440" w:left="1800" w:header="851" w:footer="992" w:gutter="0"/>
          <w:cols w:space="720" w:num="1"/>
          <w:docGrid w:type="lines" w:linePitch="312" w:charSpace="0"/>
        </w:sectPr>
      </w:pPr>
    </w:p>
    <w:p w14:paraId="47C6BAA1">
      <w:pPr>
        <w:pStyle w:val="14"/>
        <w:ind w:firstLine="482" w:firstLineChars="200"/>
        <w:rPr>
          <w:rFonts w:ascii="黑体" w:hAnsi="Calibri" w:eastAsia="黑体"/>
          <w:b/>
          <w:bCs/>
          <w:sz w:val="24"/>
          <w:szCs w:val="22"/>
          <w:highlight w:val="none"/>
        </w:rPr>
      </w:pPr>
      <w:r>
        <w:rPr>
          <w:rFonts w:hint="default" w:ascii="黑体" w:hAnsi="Calibri" w:eastAsia="黑体"/>
          <w:b/>
          <w:bCs/>
          <w:sz w:val="24"/>
          <w:szCs w:val="22"/>
          <w:highlight w:val="none"/>
        </w:rPr>
        <w:t>8</w:t>
      </w:r>
      <w:r>
        <w:rPr>
          <w:rFonts w:hint="eastAsia" w:ascii="黑体" w:hAnsi="Calibri" w:eastAsia="黑体"/>
          <w:b/>
          <w:bCs/>
          <w:sz w:val="24"/>
          <w:szCs w:val="22"/>
          <w:highlight w:val="none"/>
        </w:rPr>
        <w:t>. 总公司对分公司的授权书（如有）</w:t>
      </w:r>
    </w:p>
    <w:p w14:paraId="18515ACD">
      <w:pPr>
        <w:rPr>
          <w:highlight w:val="none"/>
        </w:rPr>
      </w:pPr>
    </w:p>
    <w:tbl>
      <w:tblPr>
        <w:tblStyle w:val="17"/>
        <w:tblW w:w="751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3"/>
      </w:tblGrid>
      <w:tr w14:paraId="68A2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7513" w:type="dxa"/>
          </w:tcPr>
          <w:p w14:paraId="0E683E49">
            <w:pPr>
              <w:topLinePunct/>
              <w:adjustRightInd w:val="0"/>
              <w:rPr>
                <w:rFonts w:ascii="Arial" w:hAnsi="Arial"/>
                <w:b/>
                <w:kern w:val="0"/>
                <w:position w:val="-1"/>
                <w:sz w:val="20"/>
                <w:szCs w:val="21"/>
                <w:highlight w:val="none"/>
              </w:rPr>
            </w:pPr>
            <w:r>
              <w:rPr>
                <w:rFonts w:hint="eastAsia" w:ascii="Arial" w:hAnsi="Arial"/>
                <w:b/>
                <w:kern w:val="0"/>
                <w:position w:val="-1"/>
                <w:sz w:val="20"/>
                <w:szCs w:val="21"/>
                <w:highlight w:val="none"/>
              </w:rPr>
              <w:t>此处应附：</w:t>
            </w:r>
          </w:p>
          <w:p w14:paraId="4476DA3C">
            <w:pPr>
              <w:topLinePunct/>
              <w:adjustRightInd w:val="0"/>
              <w:rPr>
                <w:rFonts w:ascii="Arial" w:hAnsi="Arial"/>
                <w:b/>
                <w:kern w:val="0"/>
                <w:position w:val="-1"/>
                <w:sz w:val="20"/>
                <w:szCs w:val="21"/>
                <w:highlight w:val="none"/>
              </w:rPr>
            </w:pPr>
          </w:p>
          <w:p w14:paraId="7B30ACBA">
            <w:pPr>
              <w:topLinePunct/>
              <w:adjustRightInd w:val="0"/>
              <w:rPr>
                <w:rFonts w:ascii="Arial" w:hAnsi="Arial"/>
                <w:b/>
                <w:kern w:val="0"/>
                <w:position w:val="-1"/>
                <w:sz w:val="20"/>
                <w:szCs w:val="21"/>
                <w:highlight w:val="none"/>
              </w:rPr>
            </w:pPr>
          </w:p>
          <w:p w14:paraId="2B87578A">
            <w:pPr>
              <w:topLinePunct/>
              <w:adjustRightInd w:val="0"/>
              <w:ind w:firstLine="394" w:firstLineChars="196"/>
              <w:rPr>
                <w:rFonts w:ascii="Arial" w:hAnsi="Arial" w:cs="Arial"/>
                <w:b/>
                <w:kern w:val="0"/>
                <w:sz w:val="24"/>
                <w:szCs w:val="20"/>
                <w:highlight w:val="none"/>
              </w:rPr>
            </w:pPr>
            <w:r>
              <w:rPr>
                <w:rFonts w:hint="eastAsia" w:ascii="Arial" w:hAnsi="Arial"/>
                <w:b/>
                <w:kern w:val="0"/>
                <w:position w:val="-1"/>
                <w:sz w:val="20"/>
                <w:szCs w:val="21"/>
                <w:highlight w:val="none"/>
              </w:rPr>
              <w:t>若应答人为分公司，应出具总公司对分公司的有效授权，明确表示总公司同意分公司参与本项目的应答，并在应答和合同执行中提供人力、物力、资金等各方面的支持。</w:t>
            </w:r>
          </w:p>
        </w:tc>
      </w:tr>
    </w:tbl>
    <w:p w14:paraId="0D42B69A">
      <w:pPr>
        <w:pStyle w:val="6"/>
        <w:rPr>
          <w:rFonts w:hint="eastAsia"/>
          <w:highlight w:val="none"/>
          <w:lang w:eastAsia="zh-CN"/>
        </w:rPr>
      </w:pPr>
    </w:p>
    <w:p w14:paraId="1B8BDCB6">
      <w:pPr>
        <w:adjustRightInd w:val="0"/>
        <w:spacing w:before="240" w:after="120"/>
        <w:rPr>
          <w:rFonts w:ascii="黑体" w:eastAsia="黑体"/>
          <w:color w:val="000000" w:themeColor="text1"/>
          <w:sz w:val="24"/>
          <w:highlight w:val="none"/>
          <w14:textFill>
            <w14:solidFill>
              <w14:schemeClr w14:val="tx1"/>
            </w14:solidFill>
          </w14:textFill>
        </w:rPr>
      </w:pPr>
    </w:p>
    <w:p w14:paraId="7B3B82AA">
      <w:pPr>
        <w:rPr>
          <w:rFonts w:ascii="黑体" w:eastAsia="黑体"/>
          <w:b/>
          <w:color w:val="000000" w:themeColor="text1"/>
          <w:sz w:val="24"/>
          <w:szCs w:val="24"/>
          <w:highlight w:val="none"/>
          <w14:textFill>
            <w14:solidFill>
              <w14:schemeClr w14:val="tx1"/>
            </w14:solidFill>
          </w14:textFill>
        </w:rPr>
      </w:pPr>
      <w:r>
        <w:rPr>
          <w:rFonts w:ascii="黑体" w:eastAsia="黑体"/>
          <w:b/>
          <w:color w:val="000000" w:themeColor="text1"/>
          <w:sz w:val="24"/>
          <w:szCs w:val="24"/>
          <w:highlight w:val="none"/>
          <w14:textFill>
            <w14:solidFill>
              <w14:schemeClr w14:val="tx1"/>
            </w14:solidFill>
          </w14:textFill>
        </w:rPr>
        <w:br w:type="page"/>
      </w:r>
    </w:p>
    <w:p w14:paraId="6735DC21">
      <w:pPr>
        <w:adjustRightInd w:val="0"/>
        <w:snapToGrid w:val="0"/>
        <w:spacing w:line="400" w:lineRule="exact"/>
        <w:ind w:firstLine="482" w:firstLineChars="200"/>
        <w:rPr>
          <w:rFonts w:ascii="黑体" w:eastAsia="黑体"/>
          <w:b/>
          <w:color w:val="000000" w:themeColor="text1"/>
          <w:sz w:val="24"/>
          <w:szCs w:val="24"/>
          <w:highlight w:val="none"/>
          <w14:textFill>
            <w14:solidFill>
              <w14:schemeClr w14:val="tx1"/>
            </w14:solidFill>
          </w14:textFill>
        </w:rPr>
      </w:pPr>
      <w:r>
        <w:rPr>
          <w:rFonts w:hint="default" w:ascii="黑体" w:eastAsia="黑体"/>
          <w:b/>
          <w:color w:val="000000" w:themeColor="text1"/>
          <w:sz w:val="24"/>
          <w:szCs w:val="24"/>
          <w:highlight w:val="none"/>
          <w14:textFill>
            <w14:solidFill>
              <w14:schemeClr w14:val="tx1"/>
            </w14:solidFill>
          </w14:textFill>
        </w:rPr>
        <w:t>9</w:t>
      </w:r>
      <w:r>
        <w:rPr>
          <w:rFonts w:hint="eastAsia" w:ascii="黑体" w:eastAsia="黑体"/>
          <w:b/>
          <w:color w:val="000000" w:themeColor="text1"/>
          <w:sz w:val="24"/>
          <w:szCs w:val="24"/>
          <w:highlight w:val="none"/>
          <w14:textFill>
            <w14:solidFill>
              <w14:schemeClr w14:val="tx1"/>
            </w14:solidFill>
          </w14:textFill>
        </w:rPr>
        <w:t>.财务状况</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
        <w:gridCol w:w="4442"/>
        <w:gridCol w:w="3758"/>
      </w:tblGrid>
      <w:tr w14:paraId="7E89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71" w:type="dxa"/>
            <w:gridSpan w:val="2"/>
            <w:tcBorders>
              <w:tl2br w:val="single" w:color="auto" w:sz="4" w:space="0"/>
            </w:tcBorders>
          </w:tcPr>
          <w:p w14:paraId="248FE083">
            <w:pPr>
              <w:spacing w:line="240" w:lineRule="atLeas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年份</w:t>
            </w:r>
          </w:p>
          <w:p w14:paraId="2DC912D3">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财务指标</w:t>
            </w:r>
          </w:p>
        </w:tc>
        <w:tc>
          <w:tcPr>
            <w:tcW w:w="3758" w:type="dxa"/>
            <w:vAlign w:val="center"/>
          </w:tcPr>
          <w:p w14:paraId="0B7F0EA6">
            <w:pPr>
              <w:spacing w:line="240" w:lineRule="atLeas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XX年</w:t>
            </w:r>
          </w:p>
          <w:p w14:paraId="5E94E4B4">
            <w:pPr>
              <w:spacing w:line="240" w:lineRule="atLeast"/>
              <w:jc w:val="center"/>
              <w:rPr>
                <w:rFonts w:ascii="宋体" w:hAnsi="宋体"/>
                <w:b/>
                <w:color w:val="000000" w:themeColor="text1"/>
                <w:szCs w:val="21"/>
                <w:highlight w:val="none"/>
                <w14:textFill>
                  <w14:solidFill>
                    <w14:schemeClr w14:val="tx1"/>
                  </w14:solidFill>
                </w14:textFill>
              </w:rPr>
            </w:pPr>
          </w:p>
        </w:tc>
      </w:tr>
      <w:tr w14:paraId="49E4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29" w:type="dxa"/>
            <w:vAlign w:val="center"/>
          </w:tcPr>
          <w:p w14:paraId="3D415BBC">
            <w:pPr>
              <w:spacing w:line="240" w:lineRule="atLeas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4442" w:type="dxa"/>
            <w:vAlign w:val="center"/>
          </w:tcPr>
          <w:p w14:paraId="34AC8C43">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注册资本金</w:t>
            </w:r>
          </w:p>
        </w:tc>
        <w:tc>
          <w:tcPr>
            <w:tcW w:w="3758" w:type="dxa"/>
          </w:tcPr>
          <w:p w14:paraId="7BDC4D41">
            <w:pPr>
              <w:keepNext/>
              <w:keepLines/>
              <w:spacing w:line="240" w:lineRule="atLeast"/>
              <w:rPr>
                <w:rFonts w:ascii="宋体" w:hAnsi="宋体"/>
                <w:b/>
                <w:color w:val="000000" w:themeColor="text1"/>
                <w:szCs w:val="21"/>
                <w:highlight w:val="none"/>
                <w14:textFill>
                  <w14:solidFill>
                    <w14:schemeClr w14:val="tx1"/>
                  </w14:solidFill>
                </w14:textFill>
              </w:rPr>
            </w:pPr>
          </w:p>
        </w:tc>
      </w:tr>
      <w:tr w14:paraId="2247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restart"/>
            <w:vAlign w:val="center"/>
          </w:tcPr>
          <w:p w14:paraId="79851E05">
            <w:pPr>
              <w:spacing w:line="240" w:lineRule="atLeas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4442" w:type="dxa"/>
            <w:vAlign w:val="center"/>
          </w:tcPr>
          <w:p w14:paraId="4FC7FA9E">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负债总额</w:t>
            </w:r>
          </w:p>
        </w:tc>
        <w:tc>
          <w:tcPr>
            <w:tcW w:w="3758" w:type="dxa"/>
          </w:tcPr>
          <w:p w14:paraId="083006A8">
            <w:pPr>
              <w:keepNext/>
              <w:keepLines/>
              <w:spacing w:line="240" w:lineRule="atLeast"/>
              <w:rPr>
                <w:rFonts w:ascii="宋体" w:hAnsi="宋体"/>
                <w:b/>
                <w:color w:val="000000" w:themeColor="text1"/>
                <w:szCs w:val="21"/>
                <w:highlight w:val="none"/>
                <w14:textFill>
                  <w14:solidFill>
                    <w14:schemeClr w14:val="tx1"/>
                  </w14:solidFill>
                </w14:textFill>
              </w:rPr>
            </w:pPr>
          </w:p>
        </w:tc>
      </w:tr>
      <w:tr w14:paraId="7D0B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030BB2F2">
            <w:pPr>
              <w:keepNext/>
              <w:keepLines/>
              <w:spacing w:line="240" w:lineRule="atLeast"/>
              <w:jc w:val="center"/>
              <w:rPr>
                <w:rFonts w:ascii="宋体" w:hAnsi="宋体"/>
                <w:b/>
                <w:color w:val="000000" w:themeColor="text1"/>
                <w:szCs w:val="21"/>
                <w:highlight w:val="none"/>
                <w14:textFill>
                  <w14:solidFill>
                    <w14:schemeClr w14:val="tx1"/>
                  </w14:solidFill>
                </w14:textFill>
              </w:rPr>
            </w:pPr>
          </w:p>
        </w:tc>
        <w:tc>
          <w:tcPr>
            <w:tcW w:w="4442" w:type="dxa"/>
            <w:vAlign w:val="center"/>
          </w:tcPr>
          <w:p w14:paraId="5EEF9C9E">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资产总额</w:t>
            </w:r>
          </w:p>
        </w:tc>
        <w:tc>
          <w:tcPr>
            <w:tcW w:w="3758" w:type="dxa"/>
          </w:tcPr>
          <w:p w14:paraId="75DF5FF3">
            <w:pPr>
              <w:keepNext/>
              <w:keepLines/>
              <w:spacing w:line="240" w:lineRule="atLeast"/>
              <w:rPr>
                <w:rFonts w:ascii="宋体" w:hAnsi="宋体"/>
                <w:b/>
                <w:color w:val="000000" w:themeColor="text1"/>
                <w:szCs w:val="21"/>
                <w:highlight w:val="none"/>
                <w14:textFill>
                  <w14:solidFill>
                    <w14:schemeClr w14:val="tx1"/>
                  </w14:solidFill>
                </w14:textFill>
              </w:rPr>
            </w:pPr>
          </w:p>
        </w:tc>
      </w:tr>
      <w:tr w14:paraId="4B5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0DE1EA11">
            <w:pPr>
              <w:keepNext/>
              <w:keepLines/>
              <w:spacing w:line="240" w:lineRule="atLeast"/>
              <w:jc w:val="center"/>
              <w:rPr>
                <w:rFonts w:ascii="宋体" w:hAnsi="宋体"/>
                <w:b/>
                <w:color w:val="000000" w:themeColor="text1"/>
                <w:szCs w:val="21"/>
                <w:highlight w:val="none"/>
                <w14:textFill>
                  <w14:solidFill>
                    <w14:schemeClr w14:val="tx1"/>
                  </w14:solidFill>
                </w14:textFill>
              </w:rPr>
            </w:pPr>
          </w:p>
        </w:tc>
        <w:tc>
          <w:tcPr>
            <w:tcW w:w="4442" w:type="dxa"/>
            <w:vAlign w:val="center"/>
          </w:tcPr>
          <w:p w14:paraId="281329DA">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资产负债率＝负债总额÷资产总额×100％</w:t>
            </w:r>
          </w:p>
        </w:tc>
        <w:tc>
          <w:tcPr>
            <w:tcW w:w="3758" w:type="dxa"/>
          </w:tcPr>
          <w:p w14:paraId="52FE290D">
            <w:pPr>
              <w:keepNext/>
              <w:keepLines/>
              <w:spacing w:line="240" w:lineRule="atLeast"/>
              <w:rPr>
                <w:rFonts w:ascii="宋体" w:hAnsi="宋体"/>
                <w:b/>
                <w:color w:val="000000" w:themeColor="text1"/>
                <w:szCs w:val="21"/>
                <w:highlight w:val="none"/>
                <w14:textFill>
                  <w14:solidFill>
                    <w14:schemeClr w14:val="tx1"/>
                  </w14:solidFill>
                </w14:textFill>
              </w:rPr>
            </w:pPr>
          </w:p>
        </w:tc>
      </w:tr>
      <w:tr w14:paraId="0A17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restart"/>
            <w:vAlign w:val="center"/>
          </w:tcPr>
          <w:p w14:paraId="2A495676">
            <w:pPr>
              <w:spacing w:line="240" w:lineRule="atLeas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p>
        </w:tc>
        <w:tc>
          <w:tcPr>
            <w:tcW w:w="4442" w:type="dxa"/>
            <w:vAlign w:val="center"/>
          </w:tcPr>
          <w:p w14:paraId="6FB2EF2D">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流动资产</w:t>
            </w:r>
          </w:p>
        </w:tc>
        <w:tc>
          <w:tcPr>
            <w:tcW w:w="3758" w:type="dxa"/>
          </w:tcPr>
          <w:p w14:paraId="1E946B8D">
            <w:pPr>
              <w:keepNext/>
              <w:keepLines/>
              <w:spacing w:line="240" w:lineRule="atLeast"/>
              <w:rPr>
                <w:rFonts w:ascii="宋体" w:hAnsi="宋体"/>
                <w:b/>
                <w:color w:val="000000" w:themeColor="text1"/>
                <w:szCs w:val="21"/>
                <w:highlight w:val="none"/>
                <w14:textFill>
                  <w14:solidFill>
                    <w14:schemeClr w14:val="tx1"/>
                  </w14:solidFill>
                </w14:textFill>
              </w:rPr>
            </w:pPr>
          </w:p>
        </w:tc>
      </w:tr>
      <w:tr w14:paraId="3751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9" w:type="dxa"/>
            <w:vMerge w:val="continue"/>
            <w:vAlign w:val="center"/>
          </w:tcPr>
          <w:p w14:paraId="2B46717E">
            <w:pPr>
              <w:keepNext/>
              <w:keepLines/>
              <w:spacing w:line="240" w:lineRule="atLeast"/>
              <w:jc w:val="center"/>
              <w:rPr>
                <w:rFonts w:ascii="宋体" w:hAnsi="宋体"/>
                <w:b/>
                <w:color w:val="000000" w:themeColor="text1"/>
                <w:szCs w:val="21"/>
                <w:highlight w:val="none"/>
                <w14:textFill>
                  <w14:solidFill>
                    <w14:schemeClr w14:val="tx1"/>
                  </w14:solidFill>
                </w14:textFill>
              </w:rPr>
            </w:pPr>
          </w:p>
        </w:tc>
        <w:tc>
          <w:tcPr>
            <w:tcW w:w="4442" w:type="dxa"/>
            <w:vAlign w:val="center"/>
          </w:tcPr>
          <w:p w14:paraId="56221078">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流动负债</w:t>
            </w:r>
          </w:p>
        </w:tc>
        <w:tc>
          <w:tcPr>
            <w:tcW w:w="3758" w:type="dxa"/>
          </w:tcPr>
          <w:p w14:paraId="4F94F300">
            <w:pPr>
              <w:keepNext/>
              <w:keepLines/>
              <w:spacing w:line="240" w:lineRule="atLeast"/>
              <w:rPr>
                <w:rFonts w:ascii="宋体" w:hAnsi="宋体"/>
                <w:b/>
                <w:color w:val="000000" w:themeColor="text1"/>
                <w:szCs w:val="21"/>
                <w:highlight w:val="none"/>
                <w14:textFill>
                  <w14:solidFill>
                    <w14:schemeClr w14:val="tx1"/>
                  </w14:solidFill>
                </w14:textFill>
              </w:rPr>
            </w:pPr>
          </w:p>
        </w:tc>
      </w:tr>
      <w:tr w14:paraId="037C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482154FF">
            <w:pPr>
              <w:keepNext/>
              <w:keepLines/>
              <w:spacing w:line="240" w:lineRule="atLeast"/>
              <w:jc w:val="center"/>
              <w:rPr>
                <w:rFonts w:ascii="宋体" w:hAnsi="宋体"/>
                <w:b/>
                <w:color w:val="000000" w:themeColor="text1"/>
                <w:szCs w:val="21"/>
                <w:highlight w:val="none"/>
                <w14:textFill>
                  <w14:solidFill>
                    <w14:schemeClr w14:val="tx1"/>
                  </w14:solidFill>
                </w14:textFill>
              </w:rPr>
            </w:pPr>
          </w:p>
        </w:tc>
        <w:tc>
          <w:tcPr>
            <w:tcW w:w="4442" w:type="dxa"/>
            <w:vAlign w:val="center"/>
          </w:tcPr>
          <w:p w14:paraId="23231293">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流动比率＝流动资产/流动负债</w:t>
            </w:r>
          </w:p>
        </w:tc>
        <w:tc>
          <w:tcPr>
            <w:tcW w:w="3758" w:type="dxa"/>
          </w:tcPr>
          <w:p w14:paraId="084AEB0D">
            <w:pPr>
              <w:keepNext/>
              <w:keepLines/>
              <w:spacing w:line="240" w:lineRule="atLeast"/>
              <w:rPr>
                <w:rFonts w:ascii="宋体" w:hAnsi="宋体"/>
                <w:b/>
                <w:color w:val="000000" w:themeColor="text1"/>
                <w:szCs w:val="21"/>
                <w:highlight w:val="none"/>
                <w14:textFill>
                  <w14:solidFill>
                    <w14:schemeClr w14:val="tx1"/>
                  </w14:solidFill>
                </w14:textFill>
              </w:rPr>
            </w:pPr>
          </w:p>
        </w:tc>
      </w:tr>
      <w:tr w14:paraId="23EF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028D0576">
            <w:pPr>
              <w:keepNext/>
              <w:keepLines/>
              <w:spacing w:line="240" w:lineRule="atLeast"/>
              <w:jc w:val="center"/>
              <w:rPr>
                <w:rFonts w:ascii="宋体" w:hAnsi="宋体"/>
                <w:b/>
                <w:color w:val="000000" w:themeColor="text1"/>
                <w:szCs w:val="21"/>
                <w:highlight w:val="none"/>
                <w14:textFill>
                  <w14:solidFill>
                    <w14:schemeClr w14:val="tx1"/>
                  </w14:solidFill>
                </w14:textFill>
              </w:rPr>
            </w:pPr>
          </w:p>
        </w:tc>
        <w:tc>
          <w:tcPr>
            <w:tcW w:w="4442" w:type="dxa"/>
            <w:vAlign w:val="center"/>
          </w:tcPr>
          <w:p w14:paraId="27FEB23B">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速动比率=（流动资产-存货）÷流动负债</w:t>
            </w:r>
          </w:p>
        </w:tc>
        <w:tc>
          <w:tcPr>
            <w:tcW w:w="3758" w:type="dxa"/>
          </w:tcPr>
          <w:p w14:paraId="14762157">
            <w:pPr>
              <w:keepNext/>
              <w:keepLines/>
              <w:spacing w:line="240" w:lineRule="atLeast"/>
              <w:rPr>
                <w:rFonts w:ascii="宋体" w:hAnsi="宋体"/>
                <w:b/>
                <w:color w:val="000000" w:themeColor="text1"/>
                <w:szCs w:val="21"/>
                <w:highlight w:val="none"/>
                <w14:textFill>
                  <w14:solidFill>
                    <w14:schemeClr w14:val="tx1"/>
                  </w14:solidFill>
                </w14:textFill>
              </w:rPr>
            </w:pPr>
          </w:p>
        </w:tc>
      </w:tr>
      <w:tr w14:paraId="3D16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restart"/>
            <w:vAlign w:val="center"/>
          </w:tcPr>
          <w:p w14:paraId="4FDFD85A">
            <w:pPr>
              <w:spacing w:line="240" w:lineRule="atLeas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4442" w:type="dxa"/>
            <w:vAlign w:val="center"/>
          </w:tcPr>
          <w:p w14:paraId="6C6041B1">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营业利润</w:t>
            </w:r>
          </w:p>
        </w:tc>
        <w:tc>
          <w:tcPr>
            <w:tcW w:w="3758" w:type="dxa"/>
          </w:tcPr>
          <w:p w14:paraId="241EA3ED">
            <w:pPr>
              <w:keepNext/>
              <w:keepLines/>
              <w:spacing w:line="240" w:lineRule="atLeast"/>
              <w:rPr>
                <w:rFonts w:ascii="宋体" w:hAnsi="宋体"/>
                <w:b/>
                <w:color w:val="000000" w:themeColor="text1"/>
                <w:szCs w:val="21"/>
                <w:highlight w:val="none"/>
                <w14:textFill>
                  <w14:solidFill>
                    <w14:schemeClr w14:val="tx1"/>
                  </w14:solidFill>
                </w14:textFill>
              </w:rPr>
            </w:pPr>
          </w:p>
        </w:tc>
      </w:tr>
      <w:tr w14:paraId="2185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5BF08940">
            <w:pPr>
              <w:keepNext/>
              <w:keepLines/>
              <w:spacing w:line="240" w:lineRule="atLeast"/>
              <w:jc w:val="center"/>
              <w:rPr>
                <w:rFonts w:ascii="宋体" w:hAnsi="宋体"/>
                <w:b/>
                <w:color w:val="000000" w:themeColor="text1"/>
                <w:szCs w:val="21"/>
                <w:highlight w:val="none"/>
                <w14:textFill>
                  <w14:solidFill>
                    <w14:schemeClr w14:val="tx1"/>
                  </w14:solidFill>
                </w14:textFill>
              </w:rPr>
            </w:pPr>
          </w:p>
        </w:tc>
        <w:tc>
          <w:tcPr>
            <w:tcW w:w="4442" w:type="dxa"/>
            <w:vAlign w:val="center"/>
          </w:tcPr>
          <w:p w14:paraId="2B8A3610">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营业收入净额</w:t>
            </w:r>
          </w:p>
        </w:tc>
        <w:tc>
          <w:tcPr>
            <w:tcW w:w="3758" w:type="dxa"/>
          </w:tcPr>
          <w:p w14:paraId="77638D9A">
            <w:pPr>
              <w:keepNext/>
              <w:keepLines/>
              <w:spacing w:line="240" w:lineRule="atLeast"/>
              <w:rPr>
                <w:rFonts w:ascii="宋体" w:hAnsi="宋体"/>
                <w:b/>
                <w:color w:val="000000" w:themeColor="text1"/>
                <w:szCs w:val="21"/>
                <w:highlight w:val="none"/>
                <w14:textFill>
                  <w14:solidFill>
                    <w14:schemeClr w14:val="tx1"/>
                  </w14:solidFill>
                </w14:textFill>
              </w:rPr>
            </w:pPr>
          </w:p>
        </w:tc>
      </w:tr>
      <w:tr w14:paraId="5752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1B65D3D6">
            <w:pPr>
              <w:keepNext/>
              <w:keepLines/>
              <w:spacing w:line="240" w:lineRule="atLeast"/>
              <w:jc w:val="center"/>
              <w:rPr>
                <w:rFonts w:ascii="宋体" w:hAnsi="宋体"/>
                <w:b/>
                <w:color w:val="000000" w:themeColor="text1"/>
                <w:szCs w:val="21"/>
                <w:highlight w:val="none"/>
                <w14:textFill>
                  <w14:solidFill>
                    <w14:schemeClr w14:val="tx1"/>
                  </w14:solidFill>
                </w14:textFill>
              </w:rPr>
            </w:pPr>
          </w:p>
        </w:tc>
        <w:tc>
          <w:tcPr>
            <w:tcW w:w="4442" w:type="dxa"/>
            <w:vAlign w:val="center"/>
          </w:tcPr>
          <w:p w14:paraId="43826A4F">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营业利润率＝营业利润÷营业收入净额×100％</w:t>
            </w:r>
          </w:p>
        </w:tc>
        <w:tc>
          <w:tcPr>
            <w:tcW w:w="3758" w:type="dxa"/>
          </w:tcPr>
          <w:p w14:paraId="28482FE4">
            <w:pPr>
              <w:keepNext/>
              <w:keepLines/>
              <w:spacing w:line="240" w:lineRule="atLeast"/>
              <w:rPr>
                <w:rFonts w:ascii="宋体" w:hAnsi="宋体"/>
                <w:b/>
                <w:color w:val="000000" w:themeColor="text1"/>
                <w:szCs w:val="21"/>
                <w:highlight w:val="none"/>
                <w14:textFill>
                  <w14:solidFill>
                    <w14:schemeClr w14:val="tx1"/>
                  </w14:solidFill>
                </w14:textFill>
              </w:rPr>
            </w:pPr>
          </w:p>
        </w:tc>
      </w:tr>
      <w:tr w14:paraId="5232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restart"/>
            <w:vAlign w:val="center"/>
          </w:tcPr>
          <w:p w14:paraId="307A4203">
            <w:pPr>
              <w:spacing w:line="240" w:lineRule="atLeas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5</w:t>
            </w:r>
          </w:p>
        </w:tc>
        <w:tc>
          <w:tcPr>
            <w:tcW w:w="4442" w:type="dxa"/>
            <w:vAlign w:val="center"/>
          </w:tcPr>
          <w:p w14:paraId="1EC0AAFA">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净利润</w:t>
            </w:r>
          </w:p>
        </w:tc>
        <w:tc>
          <w:tcPr>
            <w:tcW w:w="3758" w:type="dxa"/>
          </w:tcPr>
          <w:p w14:paraId="22321E87">
            <w:pPr>
              <w:keepNext/>
              <w:keepLines/>
              <w:spacing w:line="240" w:lineRule="atLeast"/>
              <w:rPr>
                <w:rFonts w:ascii="宋体" w:hAnsi="宋体"/>
                <w:b/>
                <w:color w:val="000000" w:themeColor="text1"/>
                <w:szCs w:val="21"/>
                <w:highlight w:val="none"/>
                <w14:textFill>
                  <w14:solidFill>
                    <w14:schemeClr w14:val="tx1"/>
                  </w14:solidFill>
                </w14:textFill>
              </w:rPr>
            </w:pPr>
          </w:p>
        </w:tc>
      </w:tr>
      <w:tr w14:paraId="072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341FA7AD">
            <w:pPr>
              <w:keepNext/>
              <w:keepLines/>
              <w:spacing w:line="240" w:lineRule="atLeast"/>
              <w:rPr>
                <w:rFonts w:ascii="宋体" w:hAnsi="宋体"/>
                <w:b/>
                <w:color w:val="000000" w:themeColor="text1"/>
                <w:szCs w:val="21"/>
                <w:highlight w:val="none"/>
                <w14:textFill>
                  <w14:solidFill>
                    <w14:schemeClr w14:val="tx1"/>
                  </w14:solidFill>
                </w14:textFill>
              </w:rPr>
            </w:pPr>
          </w:p>
        </w:tc>
        <w:tc>
          <w:tcPr>
            <w:tcW w:w="4442" w:type="dxa"/>
            <w:vAlign w:val="center"/>
          </w:tcPr>
          <w:p w14:paraId="1E86E316">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平均所有者权益=（年初所有者权益合计＋年末所有者权益合计）÷2</w:t>
            </w:r>
          </w:p>
        </w:tc>
        <w:tc>
          <w:tcPr>
            <w:tcW w:w="3758" w:type="dxa"/>
          </w:tcPr>
          <w:p w14:paraId="022B3419">
            <w:pPr>
              <w:keepNext/>
              <w:keepLines/>
              <w:spacing w:line="240" w:lineRule="atLeast"/>
              <w:rPr>
                <w:rFonts w:ascii="宋体" w:hAnsi="宋体"/>
                <w:b/>
                <w:color w:val="000000" w:themeColor="text1"/>
                <w:szCs w:val="21"/>
                <w:highlight w:val="none"/>
                <w14:textFill>
                  <w14:solidFill>
                    <w14:schemeClr w14:val="tx1"/>
                  </w14:solidFill>
                </w14:textFill>
              </w:rPr>
            </w:pPr>
          </w:p>
        </w:tc>
      </w:tr>
      <w:tr w14:paraId="5214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dxa"/>
            <w:vMerge w:val="continue"/>
            <w:vAlign w:val="center"/>
          </w:tcPr>
          <w:p w14:paraId="738D778D">
            <w:pPr>
              <w:keepNext/>
              <w:keepLines/>
              <w:spacing w:line="240" w:lineRule="atLeast"/>
              <w:rPr>
                <w:rFonts w:ascii="宋体" w:hAnsi="宋体"/>
                <w:b/>
                <w:color w:val="000000" w:themeColor="text1"/>
                <w:szCs w:val="21"/>
                <w:highlight w:val="none"/>
                <w14:textFill>
                  <w14:solidFill>
                    <w14:schemeClr w14:val="tx1"/>
                  </w14:solidFill>
                </w14:textFill>
              </w:rPr>
            </w:pPr>
          </w:p>
        </w:tc>
        <w:tc>
          <w:tcPr>
            <w:tcW w:w="4442" w:type="dxa"/>
            <w:vAlign w:val="center"/>
          </w:tcPr>
          <w:p w14:paraId="25369794">
            <w:pPr>
              <w:spacing w:line="240" w:lineRule="atLeas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净资产收益率＝净利润÷平均所有者权益×100％</w:t>
            </w:r>
          </w:p>
        </w:tc>
        <w:tc>
          <w:tcPr>
            <w:tcW w:w="3758" w:type="dxa"/>
          </w:tcPr>
          <w:p w14:paraId="48C8F826">
            <w:pPr>
              <w:keepNext/>
              <w:keepLines/>
              <w:spacing w:line="240" w:lineRule="atLeast"/>
              <w:rPr>
                <w:rFonts w:ascii="宋体" w:hAnsi="宋体"/>
                <w:b/>
                <w:color w:val="000000" w:themeColor="text1"/>
                <w:szCs w:val="21"/>
                <w:highlight w:val="none"/>
                <w14:textFill>
                  <w14:solidFill>
                    <w14:schemeClr w14:val="tx1"/>
                  </w14:solidFill>
                </w14:textFill>
              </w:rPr>
            </w:pPr>
          </w:p>
        </w:tc>
      </w:tr>
      <w:tr w14:paraId="4D7F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3"/>
            <w:vAlign w:val="center"/>
          </w:tcPr>
          <w:p w14:paraId="339323F4">
            <w:pPr>
              <w:spacing w:line="240" w:lineRule="atLeas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填写说明：</w:t>
            </w:r>
            <w:r>
              <w:rPr>
                <w:rFonts w:ascii="宋体" w:hAnsi="宋体"/>
                <w:bCs/>
                <w:color w:val="000000" w:themeColor="text1"/>
                <w:szCs w:val="21"/>
                <w:highlight w:val="none"/>
                <w14:textFill>
                  <w14:solidFill>
                    <w14:schemeClr w14:val="tx1"/>
                  </w14:solidFill>
                </w14:textFill>
              </w:rPr>
              <w:t>应答人需根据第二章应答人须知前附表第3.5.4</w:t>
            </w:r>
            <w:r>
              <w:rPr>
                <w:rFonts w:hint="eastAsia" w:ascii="宋体" w:hAnsi="宋体"/>
                <w:bCs/>
                <w:color w:val="000000" w:themeColor="text1"/>
                <w:szCs w:val="21"/>
                <w:highlight w:val="none"/>
                <w14:textFill>
                  <w14:solidFill>
                    <w14:schemeClr w14:val="tx1"/>
                  </w14:solidFill>
                </w14:textFill>
              </w:rPr>
              <w:t>条规定的年份提供经有资质的会计师事务所或审计机构审计的财务会计报表（如应答人为财政拨款的科研事业单位、高校的，可提供经本单位审计的财务会计报表），</w:t>
            </w:r>
            <w:r>
              <w:rPr>
                <w:rFonts w:hint="eastAsia" w:ascii="宋体" w:hAnsi="宋体"/>
                <w:bCs/>
                <w:szCs w:val="21"/>
                <w:highlight w:val="none"/>
              </w:rPr>
              <w:t>近年财务状况表应附经会计师事务所或审计机构审计的财务会计报表，包括资产负债表、现金流量表、利润表和财务报表附注。</w:t>
            </w:r>
          </w:p>
        </w:tc>
      </w:tr>
    </w:tbl>
    <w:p w14:paraId="00CB2C92">
      <w:pPr>
        <w:adjustRightInd w:val="0"/>
        <w:spacing w:before="240" w:after="120"/>
        <w:rPr>
          <w:rFonts w:ascii="黑体" w:eastAsia="黑体"/>
          <w:color w:val="000000" w:themeColor="text1"/>
          <w:sz w:val="24"/>
          <w:highlight w:val="none"/>
          <w14:textFill>
            <w14:solidFill>
              <w14:schemeClr w14:val="tx1"/>
            </w14:solidFill>
          </w14:textFill>
        </w:rPr>
      </w:pPr>
    </w:p>
    <w:p w14:paraId="2885A53A">
      <w:pPr>
        <w:adjustRightInd w:val="0"/>
        <w:spacing w:before="240" w:after="120"/>
        <w:outlineLvl w:val="3"/>
        <w:rPr>
          <w:rFonts w:ascii="黑体" w:eastAsia="黑体"/>
          <w:b/>
          <w:color w:val="000000" w:themeColor="text1"/>
          <w:sz w:val="24"/>
          <w:szCs w:val="24"/>
          <w:highlight w:val="none"/>
          <w14:textFill>
            <w14:solidFill>
              <w14:schemeClr w14:val="tx1"/>
            </w14:solidFill>
          </w14:textFill>
        </w:rPr>
        <w:sectPr>
          <w:pgSz w:w="11905" w:h="16838"/>
          <w:pgMar w:top="1134" w:right="1803" w:bottom="1134" w:left="1803" w:header="850" w:footer="992" w:gutter="0"/>
          <w:cols w:space="0" w:num="1"/>
          <w:docGrid w:type="lines" w:linePitch="317" w:charSpace="0"/>
        </w:sectPr>
      </w:pPr>
    </w:p>
    <w:p w14:paraId="06D43D5C">
      <w:pPr>
        <w:pStyle w:val="14"/>
        <w:ind w:firstLine="723" w:firstLineChars="300"/>
        <w:rPr>
          <w:rFonts w:ascii="黑体" w:hAnsi="Calibri" w:eastAsia="黑体"/>
          <w:b/>
          <w:bCs/>
          <w:sz w:val="24"/>
          <w:szCs w:val="22"/>
          <w:highlight w:val="none"/>
        </w:rPr>
      </w:pPr>
      <w:r>
        <w:rPr>
          <w:rFonts w:hint="eastAsia" w:ascii="黑体" w:hAnsi="Calibri" w:eastAsia="黑体"/>
          <w:b/>
          <w:bCs/>
          <w:sz w:val="24"/>
          <w:szCs w:val="22"/>
          <w:highlight w:val="none"/>
        </w:rPr>
        <w:t>1</w:t>
      </w:r>
      <w:r>
        <w:rPr>
          <w:rFonts w:hint="default" w:ascii="黑体" w:hAnsi="Calibri" w:eastAsia="黑体"/>
          <w:b/>
          <w:bCs/>
          <w:sz w:val="24"/>
          <w:szCs w:val="22"/>
          <w:highlight w:val="none"/>
        </w:rPr>
        <w:t>0</w:t>
      </w:r>
      <w:r>
        <w:rPr>
          <w:rFonts w:hint="eastAsia" w:ascii="黑体" w:hAnsi="Calibri" w:eastAsia="黑体"/>
          <w:b/>
          <w:bCs/>
          <w:sz w:val="24"/>
          <w:szCs w:val="22"/>
          <w:highlight w:val="none"/>
        </w:rPr>
        <w:t>.三标认证情况</w:t>
      </w:r>
    </w:p>
    <w:p w14:paraId="0C33E082">
      <w:pPr>
        <w:pStyle w:val="14"/>
        <w:ind w:left="440" w:firstLineChars="200"/>
        <w:rPr>
          <w:highlight w:val="none"/>
        </w:rPr>
      </w:pPr>
      <w:r>
        <w:rPr>
          <w:rFonts w:hint="eastAsia"/>
          <w:highlight w:val="none"/>
        </w:rPr>
        <w:t>请提供应答人有效的ISO9000系列质量保证体系、ISO14000系列环境管理体系、GB/T28000系列职业健康安全管理体系认证证书复印件及说明。</w:t>
      </w:r>
    </w:p>
    <w:p w14:paraId="56E64F73">
      <w:pPr>
        <w:pStyle w:val="14"/>
        <w:ind w:firstLine="723" w:firstLineChars="300"/>
        <w:rPr>
          <w:rFonts w:ascii="黑体" w:hAnsi="Calibri" w:eastAsia="黑体"/>
          <w:b/>
          <w:bCs/>
          <w:sz w:val="24"/>
          <w:szCs w:val="22"/>
          <w:highlight w:val="none"/>
        </w:rPr>
      </w:pPr>
    </w:p>
    <w:p w14:paraId="45876A2A">
      <w:pPr>
        <w:pStyle w:val="14"/>
        <w:ind w:firstLine="723" w:firstLineChars="300"/>
        <w:rPr>
          <w:rFonts w:ascii="黑体" w:hAnsi="Calibri" w:eastAsia="黑体"/>
          <w:b/>
          <w:bCs/>
          <w:sz w:val="24"/>
          <w:szCs w:val="22"/>
          <w:highlight w:val="none"/>
        </w:rPr>
      </w:pPr>
    </w:p>
    <w:p w14:paraId="6417941D">
      <w:pPr>
        <w:pStyle w:val="14"/>
        <w:ind w:firstLine="723" w:firstLineChars="300"/>
        <w:rPr>
          <w:rFonts w:ascii="黑体" w:hAnsi="Calibri" w:eastAsia="黑体"/>
          <w:b/>
          <w:bCs/>
          <w:sz w:val="24"/>
          <w:szCs w:val="22"/>
          <w:highlight w:val="none"/>
        </w:rPr>
      </w:pPr>
    </w:p>
    <w:p w14:paraId="29077210">
      <w:pPr>
        <w:pStyle w:val="14"/>
        <w:ind w:firstLine="723" w:firstLineChars="300"/>
        <w:rPr>
          <w:rFonts w:ascii="黑体" w:hAnsi="Calibri" w:eastAsia="黑体"/>
          <w:b/>
          <w:bCs/>
          <w:sz w:val="24"/>
          <w:szCs w:val="22"/>
          <w:highlight w:val="none"/>
        </w:rPr>
      </w:pPr>
    </w:p>
    <w:p w14:paraId="3F3CD157">
      <w:pPr>
        <w:pStyle w:val="14"/>
        <w:ind w:firstLine="723" w:firstLineChars="300"/>
        <w:rPr>
          <w:rFonts w:ascii="黑体" w:hAnsi="Calibri" w:eastAsia="黑体"/>
          <w:b/>
          <w:bCs/>
          <w:sz w:val="24"/>
          <w:szCs w:val="22"/>
          <w:highlight w:val="none"/>
        </w:rPr>
      </w:pPr>
    </w:p>
    <w:p w14:paraId="11C3F15B">
      <w:pPr>
        <w:pStyle w:val="14"/>
        <w:ind w:firstLine="723" w:firstLineChars="300"/>
        <w:rPr>
          <w:rFonts w:ascii="黑体" w:hAnsi="Calibri" w:eastAsia="黑体"/>
          <w:b/>
          <w:bCs/>
          <w:sz w:val="24"/>
          <w:szCs w:val="22"/>
          <w:highlight w:val="none"/>
        </w:rPr>
      </w:pPr>
    </w:p>
    <w:p w14:paraId="12C1A1FE">
      <w:pPr>
        <w:pStyle w:val="14"/>
        <w:ind w:firstLine="723" w:firstLineChars="300"/>
        <w:rPr>
          <w:rFonts w:ascii="黑体" w:hAnsi="Calibri" w:eastAsia="黑体"/>
          <w:b/>
          <w:bCs/>
          <w:sz w:val="24"/>
          <w:szCs w:val="22"/>
          <w:highlight w:val="none"/>
        </w:rPr>
      </w:pPr>
    </w:p>
    <w:p w14:paraId="072773D7">
      <w:pPr>
        <w:pStyle w:val="14"/>
        <w:ind w:firstLine="723" w:firstLineChars="300"/>
        <w:rPr>
          <w:rFonts w:ascii="黑体" w:hAnsi="Calibri" w:eastAsia="黑体"/>
          <w:b/>
          <w:bCs/>
          <w:sz w:val="24"/>
          <w:szCs w:val="22"/>
          <w:highlight w:val="none"/>
        </w:rPr>
      </w:pPr>
    </w:p>
    <w:p w14:paraId="0AB69014">
      <w:pPr>
        <w:pStyle w:val="14"/>
        <w:ind w:firstLine="723" w:firstLineChars="300"/>
        <w:rPr>
          <w:rFonts w:ascii="黑体" w:hAnsi="Calibri" w:eastAsia="黑体"/>
          <w:b/>
          <w:bCs/>
          <w:sz w:val="24"/>
          <w:szCs w:val="22"/>
          <w:highlight w:val="none"/>
        </w:rPr>
      </w:pPr>
    </w:p>
    <w:p w14:paraId="33D6E577">
      <w:pPr>
        <w:pStyle w:val="14"/>
        <w:ind w:firstLine="723" w:firstLineChars="300"/>
        <w:rPr>
          <w:highlight w:val="none"/>
        </w:rPr>
      </w:pPr>
      <w:r>
        <w:rPr>
          <w:rFonts w:hint="eastAsia" w:ascii="黑体" w:hAnsi="Calibri" w:eastAsia="黑体"/>
          <w:b/>
          <w:bCs/>
          <w:sz w:val="24"/>
          <w:szCs w:val="22"/>
          <w:highlight w:val="none"/>
        </w:rPr>
        <w:t>1</w:t>
      </w:r>
      <w:r>
        <w:rPr>
          <w:rFonts w:hint="default" w:ascii="黑体" w:hAnsi="Calibri" w:eastAsia="黑体"/>
          <w:b/>
          <w:bCs/>
          <w:sz w:val="24"/>
          <w:szCs w:val="22"/>
          <w:highlight w:val="none"/>
        </w:rPr>
        <w:t>1</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采购文件“应答人须知前附表附件 商务评分标准”涉及的支撑材料</w:t>
      </w:r>
    </w:p>
    <w:p w14:paraId="0A3C9B66">
      <w:pPr>
        <w:snapToGrid w:val="0"/>
        <w:spacing w:before="120" w:after="240"/>
        <w:outlineLvl w:val="3"/>
        <w:rPr>
          <w:rFonts w:ascii="黑体" w:eastAsia="黑体"/>
          <w:b/>
          <w:color w:val="000000" w:themeColor="text1"/>
          <w:sz w:val="24"/>
          <w:szCs w:val="24"/>
          <w:highlight w:val="none"/>
          <w14:textFill>
            <w14:solidFill>
              <w14:schemeClr w14:val="tx1"/>
            </w14:solidFill>
          </w14:textFill>
        </w:rPr>
        <w:sectPr>
          <w:pgSz w:w="11905" w:h="16838"/>
          <w:pgMar w:top="1134" w:right="1803" w:bottom="1134" w:left="1803" w:header="850" w:footer="992" w:gutter="0"/>
          <w:cols w:space="0" w:num="1"/>
          <w:docGrid w:type="lines" w:linePitch="317" w:charSpace="0"/>
        </w:sectPr>
      </w:pPr>
    </w:p>
    <w:p w14:paraId="6E575EDF">
      <w:pPr>
        <w:pStyle w:val="29"/>
        <w:numPr>
          <w:ilvl w:val="0"/>
          <w:numId w:val="4"/>
        </w:numPr>
        <w:adjustRightInd w:val="0"/>
        <w:snapToGrid w:val="0"/>
        <w:ind w:left="0" w:firstLine="0" w:firstLineChars="0"/>
        <w:outlineLvl w:val="1"/>
        <w:rPr>
          <w:rFonts w:ascii="黑体" w:hAnsi="Arial" w:eastAsia="黑体"/>
          <w:b/>
          <w:color w:val="000000" w:themeColor="text1"/>
          <w:sz w:val="28"/>
          <w:szCs w:val="28"/>
          <w:highlight w:val="none"/>
          <w14:textFill>
            <w14:solidFill>
              <w14:schemeClr w14:val="tx1"/>
            </w14:solidFill>
          </w14:textFill>
        </w:rPr>
      </w:pPr>
      <w:bookmarkStart w:id="137" w:name="_Toc62566206"/>
      <w:r>
        <w:rPr>
          <w:rFonts w:hint="eastAsia" w:ascii="黑体" w:hAnsi="Arial" w:eastAsia="黑体"/>
          <w:b/>
          <w:color w:val="000000" w:themeColor="text1"/>
          <w:sz w:val="28"/>
          <w:szCs w:val="28"/>
          <w:highlight w:val="none"/>
          <w14:textFill>
            <w14:solidFill>
              <w14:schemeClr w14:val="tx1"/>
            </w14:solidFill>
          </w14:textFill>
        </w:rPr>
        <w:t>技术文件</w:t>
      </w:r>
      <w:bookmarkEnd w:id="137"/>
    </w:p>
    <w:p w14:paraId="0DC56929">
      <w:pPr>
        <w:adjustRightInd w:val="0"/>
        <w:snapToGrid w:val="0"/>
        <w:spacing w:line="400" w:lineRule="exact"/>
        <w:outlineLvl w:val="2"/>
        <w:rPr>
          <w:rFonts w:ascii="黑体" w:hAnsi="Arial" w:eastAsia="黑体"/>
          <w:b/>
          <w:color w:val="auto"/>
          <w:sz w:val="24"/>
          <w:highlight w:val="none"/>
        </w:rPr>
      </w:pPr>
      <w:bookmarkStart w:id="138" w:name="_Toc62566207"/>
      <w:r>
        <w:rPr>
          <w:rFonts w:hint="eastAsia" w:ascii="黑体" w:hAnsi="Arial" w:eastAsia="黑体"/>
          <w:b/>
          <w:color w:val="000000" w:themeColor="text1"/>
          <w:sz w:val="24"/>
          <w:szCs w:val="28"/>
          <w:highlight w:val="none"/>
          <w14:textFill>
            <w14:solidFill>
              <w14:schemeClr w14:val="tx1"/>
            </w14:solidFill>
          </w14:textFill>
        </w:rPr>
        <w:t>（一）技术偏差表</w:t>
      </w:r>
      <w:bookmarkEnd w:id="138"/>
    </w:p>
    <w:p w14:paraId="56D7C958">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bookmarkStart w:id="139" w:name="_Toc12938"/>
      <w:bookmarkStart w:id="140" w:name="_Toc29650"/>
      <w:r>
        <w:rPr>
          <w:rFonts w:hint="eastAsia" w:ascii="黑体" w:hAnsi="Arial" w:eastAsia="黑体"/>
          <w:b/>
          <w:color w:val="000000" w:themeColor="text1"/>
          <w:sz w:val="24"/>
          <w:szCs w:val="28"/>
          <w:highlight w:val="none"/>
          <w14:textFill>
            <w14:solidFill>
              <w14:schemeClr w14:val="tx1"/>
            </w14:solidFill>
          </w14:textFill>
        </w:rPr>
        <w:t>1.技术偏差表</w:t>
      </w:r>
      <w:bookmarkEnd w:id="139"/>
      <w:bookmarkEnd w:id="140"/>
    </w:p>
    <w:p w14:paraId="4C7DE23F">
      <w:pPr>
        <w:snapToGrid w:val="0"/>
        <w:spacing w:before="317" w:beforeLines="100" w:after="158" w:afterLines="50" w:line="400" w:lineRule="exact"/>
        <w:jc w:val="center"/>
        <w:rPr>
          <w:rFonts w:ascii="黑体" w:hAnsi="宋体" w:eastAsia="黑体"/>
          <w:b/>
          <w:color w:val="000000" w:themeColor="text1"/>
          <w:kern w:val="0"/>
          <w:sz w:val="28"/>
          <w:szCs w:val="28"/>
          <w:highlight w:val="none"/>
          <w14:textFill>
            <w14:solidFill>
              <w14:schemeClr w14:val="tx1"/>
            </w14:solidFill>
          </w14:textFill>
        </w:rPr>
      </w:pPr>
      <w:bookmarkStart w:id="141" w:name="_Toc4859"/>
      <w:bookmarkStart w:id="142" w:name="_Toc16941"/>
      <w:r>
        <w:rPr>
          <w:rFonts w:hint="eastAsia" w:ascii="黑体" w:hAnsi="宋体" w:eastAsia="黑体"/>
          <w:b/>
          <w:color w:val="000000" w:themeColor="text1"/>
          <w:kern w:val="0"/>
          <w:sz w:val="28"/>
          <w:szCs w:val="28"/>
          <w:highlight w:val="none"/>
          <w14:textFill>
            <w14:solidFill>
              <w14:schemeClr w14:val="tx1"/>
            </w14:solidFill>
          </w14:textFill>
        </w:rPr>
        <w:t>技术偏差表</w:t>
      </w:r>
      <w:bookmarkEnd w:id="141"/>
      <w:bookmarkEnd w:id="142"/>
    </w:p>
    <w:p w14:paraId="560F23A9">
      <w:pPr>
        <w:pStyle w:val="30"/>
        <w:snapToGrid w:val="0"/>
        <w:spacing w:before="180" w:after="120" w:line="280" w:lineRule="exact"/>
        <w:ind w:firstLine="452"/>
        <w:jc w:val="left"/>
        <w:rPr>
          <w:rFonts w:hAnsi="宋体"/>
          <w:color w:val="000000" w:themeColor="text1"/>
          <w:spacing w:val="8"/>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项目名称：</w:t>
      </w:r>
    </w:p>
    <w:tbl>
      <w:tblPr>
        <w:tblStyle w:val="16"/>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11"/>
        <w:gridCol w:w="1932"/>
        <w:gridCol w:w="2355"/>
        <w:gridCol w:w="1702"/>
      </w:tblGrid>
      <w:tr w14:paraId="1BC3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5" w:type="dxa"/>
            <w:tcBorders>
              <w:top w:val="double" w:color="auto" w:sz="4" w:space="0"/>
              <w:left w:val="nil"/>
            </w:tcBorders>
            <w:vAlign w:val="center"/>
          </w:tcPr>
          <w:p w14:paraId="686D53E8">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1811" w:type="dxa"/>
            <w:tcBorders>
              <w:top w:val="double" w:color="auto" w:sz="4" w:space="0"/>
            </w:tcBorders>
            <w:vAlign w:val="center"/>
          </w:tcPr>
          <w:p w14:paraId="50CC3105">
            <w:pPr>
              <w:autoSpaceDE w:val="0"/>
              <w:autoSpaceDN w:val="0"/>
              <w:adjustRightInd w:val="0"/>
              <w:snapToGrid w:val="0"/>
              <w:spacing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采购文件条目号</w:t>
            </w:r>
          </w:p>
        </w:tc>
        <w:tc>
          <w:tcPr>
            <w:tcW w:w="1932" w:type="dxa"/>
            <w:tcBorders>
              <w:top w:val="double" w:color="auto" w:sz="4" w:space="0"/>
            </w:tcBorders>
            <w:vAlign w:val="center"/>
          </w:tcPr>
          <w:p w14:paraId="578A3371">
            <w:pPr>
              <w:autoSpaceDE w:val="0"/>
              <w:autoSpaceDN w:val="0"/>
              <w:adjustRightInd w:val="0"/>
              <w:snapToGrid w:val="0"/>
              <w:spacing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采购文件条款</w:t>
            </w:r>
          </w:p>
        </w:tc>
        <w:tc>
          <w:tcPr>
            <w:tcW w:w="2355" w:type="dxa"/>
            <w:tcBorders>
              <w:top w:val="double" w:color="auto" w:sz="4" w:space="0"/>
            </w:tcBorders>
            <w:vAlign w:val="center"/>
          </w:tcPr>
          <w:p w14:paraId="3BF71F9F">
            <w:pPr>
              <w:autoSpaceDE w:val="0"/>
              <w:autoSpaceDN w:val="0"/>
              <w:adjustRightInd w:val="0"/>
              <w:snapToGrid w:val="0"/>
              <w:spacing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应答文件条款</w:t>
            </w:r>
          </w:p>
        </w:tc>
        <w:tc>
          <w:tcPr>
            <w:tcW w:w="1702" w:type="dxa"/>
            <w:tcBorders>
              <w:top w:val="double" w:color="auto" w:sz="4" w:space="0"/>
              <w:right w:val="nil"/>
            </w:tcBorders>
            <w:vAlign w:val="center"/>
          </w:tcPr>
          <w:p w14:paraId="39EAA029">
            <w:pPr>
              <w:autoSpaceDE w:val="0"/>
              <w:autoSpaceDN w:val="0"/>
              <w:adjustRightInd w:val="0"/>
              <w:snapToGrid w:val="0"/>
              <w:spacing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偏差说明</w:t>
            </w:r>
          </w:p>
        </w:tc>
      </w:tr>
      <w:tr w14:paraId="2F3F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tcBorders>
          </w:tcPr>
          <w:p w14:paraId="11C3A06A">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Pr>
          <w:p w14:paraId="2B465E2D">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Pr>
          <w:p w14:paraId="24576A15">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Pr>
          <w:p w14:paraId="18DCEB81">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right w:val="nil"/>
            </w:tcBorders>
          </w:tcPr>
          <w:p w14:paraId="742729F4">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1B7C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tcBorders>
          </w:tcPr>
          <w:p w14:paraId="672E1ACA">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Pr>
          <w:p w14:paraId="7040B08E">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Pr>
          <w:p w14:paraId="1BD64B8D">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Pr>
          <w:p w14:paraId="66C4DFF1">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right w:val="nil"/>
            </w:tcBorders>
          </w:tcPr>
          <w:p w14:paraId="46FE54F9">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1425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tcBorders>
          </w:tcPr>
          <w:p w14:paraId="135232F9">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Pr>
          <w:p w14:paraId="2077DE88">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Pr>
          <w:p w14:paraId="727E0188">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Pr>
          <w:p w14:paraId="38170759">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right w:val="nil"/>
            </w:tcBorders>
          </w:tcPr>
          <w:p w14:paraId="38FB5ADF">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17BF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tcBorders>
          </w:tcPr>
          <w:p w14:paraId="458FFD17">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Pr>
          <w:p w14:paraId="6A087536">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Pr>
          <w:p w14:paraId="7E8B137D">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Pr>
          <w:p w14:paraId="51960FCB">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right w:val="nil"/>
            </w:tcBorders>
          </w:tcPr>
          <w:p w14:paraId="775B7B3C">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1480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tcBorders>
          </w:tcPr>
          <w:p w14:paraId="14C99D34">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Pr>
          <w:p w14:paraId="3C7C87C0">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Pr>
          <w:p w14:paraId="5CD3D664">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Pr>
          <w:p w14:paraId="479C10EE">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right w:val="nil"/>
            </w:tcBorders>
          </w:tcPr>
          <w:p w14:paraId="2C5FD102">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1B9E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tcBorders>
          </w:tcPr>
          <w:p w14:paraId="5709C972">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Pr>
          <w:p w14:paraId="392B88AA">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Pr>
          <w:p w14:paraId="644AAB22">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Pr>
          <w:p w14:paraId="51CFA760">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right w:val="nil"/>
            </w:tcBorders>
          </w:tcPr>
          <w:p w14:paraId="114E37E9">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6B8F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tcBorders>
          </w:tcPr>
          <w:p w14:paraId="4427134A">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Pr>
          <w:p w14:paraId="17E8B367">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Pr>
          <w:p w14:paraId="19110150">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Pr>
          <w:p w14:paraId="6EBEBCC4">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right w:val="nil"/>
            </w:tcBorders>
          </w:tcPr>
          <w:p w14:paraId="1EC16102">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2A0B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nil"/>
              <w:bottom w:val="single" w:color="auto" w:sz="4" w:space="0"/>
            </w:tcBorders>
          </w:tcPr>
          <w:p w14:paraId="049DA265">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811" w:type="dxa"/>
            <w:tcBorders>
              <w:bottom w:val="single" w:color="auto" w:sz="4" w:space="0"/>
            </w:tcBorders>
          </w:tcPr>
          <w:p w14:paraId="1CAA3C3F">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932" w:type="dxa"/>
            <w:tcBorders>
              <w:bottom w:val="single" w:color="auto" w:sz="4" w:space="0"/>
            </w:tcBorders>
          </w:tcPr>
          <w:p w14:paraId="698C3AE9">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2355" w:type="dxa"/>
            <w:tcBorders>
              <w:bottom w:val="single" w:color="auto" w:sz="4" w:space="0"/>
            </w:tcBorders>
          </w:tcPr>
          <w:p w14:paraId="1CB8556E">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c>
          <w:tcPr>
            <w:tcW w:w="1702" w:type="dxa"/>
            <w:tcBorders>
              <w:bottom w:val="single" w:color="auto" w:sz="4" w:space="0"/>
              <w:right w:val="nil"/>
            </w:tcBorders>
          </w:tcPr>
          <w:p w14:paraId="77844BA7">
            <w:pPr>
              <w:autoSpaceDE w:val="0"/>
              <w:autoSpaceDN w:val="0"/>
              <w:adjustRightInd w:val="0"/>
              <w:snapToGrid w:val="0"/>
              <w:spacing w:line="240" w:lineRule="atLeast"/>
              <w:jc w:val="center"/>
              <w:rPr>
                <w:rFonts w:ascii="宋体" w:hAnsi="宋体"/>
                <w:b/>
                <w:bCs/>
                <w:color w:val="000000" w:themeColor="text1"/>
                <w:szCs w:val="21"/>
                <w:highlight w:val="none"/>
                <w14:textFill>
                  <w14:solidFill>
                    <w14:schemeClr w14:val="tx1"/>
                  </w14:solidFill>
                </w14:textFill>
              </w:rPr>
            </w:pPr>
          </w:p>
        </w:tc>
      </w:tr>
      <w:tr w14:paraId="6682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5" w:type="dxa"/>
            <w:gridSpan w:val="5"/>
            <w:tcBorders>
              <w:top w:val="double" w:color="auto" w:sz="4" w:space="0"/>
              <w:left w:val="nil"/>
              <w:bottom w:val="double" w:color="auto" w:sz="4" w:space="0"/>
              <w:right w:val="nil"/>
            </w:tcBorders>
          </w:tcPr>
          <w:p w14:paraId="289DF83C">
            <w:pPr>
              <w:autoSpaceDE w:val="0"/>
              <w:autoSpaceDN w:val="0"/>
              <w:adjustRightInd w:val="0"/>
              <w:snapToGrid w:val="0"/>
              <w:spacing w:line="240" w:lineRule="atLeas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应答人声明</w:t>
            </w:r>
            <w:r>
              <w:rPr>
                <w:rFonts w:hint="eastAsia" w:ascii="宋体" w:hAnsi="宋体"/>
                <w:bCs/>
                <w:color w:val="000000" w:themeColor="text1"/>
                <w:szCs w:val="21"/>
                <w:highlight w:val="none"/>
                <w14:textFill>
                  <w14:solidFill>
                    <w14:schemeClr w14:val="tx1"/>
                  </w14:solidFill>
                </w14:textFill>
              </w:rPr>
              <w:t>：针对本采购标的，除本表已列明偏差外，我们接受采购文件规定的其余全部技术条件，并承诺按照采购文件规定的技术条件提供对应产品和服务。</w:t>
            </w:r>
          </w:p>
        </w:tc>
      </w:tr>
    </w:tbl>
    <w:p w14:paraId="478F7400">
      <w:pPr>
        <w:snapToGrid w:val="0"/>
        <w:outlineLvl w:val="1"/>
        <w:rPr>
          <w:rFonts w:ascii="黑体" w:hAnsi="Arial" w:eastAsia="黑体"/>
          <w:b/>
          <w:color w:val="000000" w:themeColor="text1"/>
          <w:sz w:val="28"/>
          <w:szCs w:val="28"/>
          <w:highlight w:val="none"/>
          <w14:textFill>
            <w14:solidFill>
              <w14:schemeClr w14:val="tx1"/>
            </w14:solidFill>
          </w14:textFill>
        </w:rPr>
        <w:sectPr>
          <w:headerReference r:id="rId7" w:type="default"/>
          <w:pgSz w:w="11905" w:h="16838"/>
          <w:pgMar w:top="1134" w:right="1803" w:bottom="1134" w:left="1803" w:header="850" w:footer="992" w:gutter="0"/>
          <w:pgBorders>
            <w:top w:val="none" w:sz="0" w:space="0"/>
            <w:left w:val="none" w:sz="0" w:space="0"/>
            <w:bottom w:val="none" w:sz="0" w:space="0"/>
            <w:right w:val="none" w:sz="0" w:space="0"/>
          </w:pgBorders>
          <w:cols w:space="0" w:num="1"/>
          <w:docGrid w:type="lines" w:linePitch="317" w:charSpace="0"/>
        </w:sectPr>
      </w:pPr>
    </w:p>
    <w:p w14:paraId="2EFE3B56">
      <w:pPr>
        <w:adjustRightInd w:val="0"/>
        <w:snapToGrid w:val="0"/>
        <w:spacing w:line="400" w:lineRule="exact"/>
        <w:outlineLvl w:val="2"/>
        <w:rPr>
          <w:rFonts w:ascii="黑体" w:hAnsi="Arial" w:eastAsia="黑体"/>
          <w:b/>
          <w:sz w:val="24"/>
          <w:szCs w:val="28"/>
          <w:highlight w:val="none"/>
        </w:rPr>
      </w:pPr>
      <w:bookmarkStart w:id="143" w:name="_Toc62566208"/>
      <w:r>
        <w:rPr>
          <w:rFonts w:hint="eastAsia" w:ascii="黑体" w:hAnsi="Arial" w:eastAsia="黑体"/>
          <w:b/>
          <w:color w:val="000000" w:themeColor="text1"/>
          <w:sz w:val="24"/>
          <w:szCs w:val="28"/>
          <w:highlight w:val="none"/>
          <w14:textFill>
            <w14:solidFill>
              <w14:schemeClr w14:val="tx1"/>
            </w14:solidFill>
          </w14:textFill>
        </w:rPr>
        <w:t>（二）</w:t>
      </w:r>
      <w:bookmarkEnd w:id="143"/>
      <w:r>
        <w:rPr>
          <w:rFonts w:hint="eastAsia" w:ascii="黑体" w:hAnsi="Arial" w:eastAsia="黑体"/>
          <w:b/>
          <w:color w:val="000000" w:themeColor="text1"/>
          <w:sz w:val="24"/>
          <w:szCs w:val="28"/>
          <w:highlight w:val="none"/>
          <w14:textFill>
            <w14:solidFill>
              <w14:schemeClr w14:val="tx1"/>
            </w14:solidFill>
          </w14:textFill>
        </w:rPr>
        <w:t>专项应答文件</w:t>
      </w:r>
    </w:p>
    <w:p w14:paraId="7FEE8DBC">
      <w:pPr>
        <w:adjustRightInd w:val="0"/>
        <w:snapToGrid w:val="0"/>
        <w:spacing w:line="400" w:lineRule="exact"/>
        <w:outlineLvl w:val="3"/>
        <w:rPr>
          <w:rFonts w:hint="eastAsia" w:ascii="黑体" w:hAnsi="Arial" w:eastAsia="黑体"/>
          <w:b/>
          <w:color w:val="000000" w:themeColor="text1"/>
          <w:sz w:val="24"/>
          <w:szCs w:val="28"/>
          <w:highlight w:val="none"/>
          <w14:textFill>
            <w14:solidFill>
              <w14:schemeClr w14:val="tx1"/>
            </w14:solidFill>
          </w14:textFill>
        </w:rPr>
      </w:pPr>
      <w:r>
        <w:rPr>
          <w:rFonts w:hint="eastAsia" w:ascii="黑体" w:hAnsi="Arial" w:eastAsia="黑体"/>
          <w:b/>
          <w:color w:val="000000" w:themeColor="text1"/>
          <w:sz w:val="24"/>
          <w:szCs w:val="28"/>
          <w:highlight w:val="none"/>
          <w14:textFill>
            <w14:solidFill>
              <w14:schemeClr w14:val="tx1"/>
            </w14:solidFill>
          </w14:textFill>
        </w:rPr>
        <w:t>1.企业名称变更</w:t>
      </w:r>
    </w:p>
    <w:p w14:paraId="5202C3C8">
      <w:pPr>
        <w:bidi w:val="0"/>
        <w:rPr>
          <w:rFonts w:hint="eastAsia"/>
        </w:rPr>
      </w:pPr>
      <w:r>
        <w:rPr>
          <w:rFonts w:hint="eastAsia"/>
        </w:rPr>
        <w:t>（如有，凡资格业绩等证明文件中的公司名称与应答人名称不一致的，应提供应答人自述的企业名称变更原因说明、市场监督管理部门出具的‘名称变更证明’等相关证明材料）</w:t>
      </w:r>
    </w:p>
    <w:p w14:paraId="466A6EE5">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r>
        <w:rPr>
          <w:rFonts w:hint="eastAsia" w:ascii="黑体" w:hAnsi="Arial" w:eastAsia="黑体"/>
          <w:b/>
          <w:color w:val="000000" w:themeColor="text1"/>
          <w:sz w:val="24"/>
          <w:szCs w:val="28"/>
          <w:highlight w:val="none"/>
          <w14:textFill>
            <w14:solidFill>
              <w14:schemeClr w14:val="tx1"/>
            </w14:solidFill>
          </w14:textFill>
        </w:rPr>
        <w:t>2.业绩文件</w:t>
      </w:r>
    </w:p>
    <w:p w14:paraId="76DEADD1">
      <w:pPr>
        <w:snapToGrid w:val="0"/>
        <w:jc w:val="center"/>
        <w:rPr>
          <w:rFonts w:ascii="黑体" w:hAnsi="Arial" w:eastAsia="黑体"/>
          <w:b/>
          <w:sz w:val="24"/>
          <w:highlight w:val="none"/>
        </w:rPr>
      </w:pPr>
      <w:r>
        <w:rPr>
          <w:rFonts w:hint="eastAsia" w:ascii="黑体" w:hAnsi="Arial" w:eastAsia="黑体"/>
          <w:b/>
          <w:sz w:val="24"/>
          <w:highlight w:val="none"/>
        </w:rPr>
        <w:t>近年完成的类似项目情况表</w:t>
      </w:r>
    </w:p>
    <w:tbl>
      <w:tblPr>
        <w:tblStyle w:val="16"/>
        <w:tblW w:w="83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63"/>
        <w:gridCol w:w="882"/>
        <w:gridCol w:w="1201"/>
        <w:gridCol w:w="1094"/>
        <w:gridCol w:w="1008"/>
        <w:gridCol w:w="1033"/>
        <w:gridCol w:w="1398"/>
      </w:tblGrid>
      <w:tr w14:paraId="4D29A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tcMar>
              <w:top w:w="57" w:type="dxa"/>
              <w:left w:w="0" w:type="dxa"/>
              <w:bottom w:w="57" w:type="dxa"/>
              <w:right w:w="0" w:type="dxa"/>
            </w:tcMar>
            <w:vAlign w:val="center"/>
          </w:tcPr>
          <w:p w14:paraId="54664C35">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项目法人</w:t>
            </w:r>
          </w:p>
          <w:p w14:paraId="3FD2AC36">
            <w:pPr>
              <w:autoSpaceDE w:val="0"/>
              <w:autoSpaceDN w:val="0"/>
              <w:adjustRightInd w:val="0"/>
              <w:snapToGrid w:val="0"/>
              <w:spacing w:line="240" w:lineRule="exact"/>
              <w:jc w:val="left"/>
              <w:rPr>
                <w:rFonts w:ascii="宋体" w:hAnsi="宋体" w:cs="宋体"/>
                <w:b/>
                <w:kern w:val="0"/>
                <w:sz w:val="18"/>
                <w:szCs w:val="21"/>
                <w:highlight w:val="none"/>
              </w:rPr>
            </w:pPr>
            <w:r>
              <w:rPr>
                <w:rFonts w:ascii="宋体" w:hAnsi="宋体" w:cs="宋体"/>
                <w:b/>
                <w:kern w:val="0"/>
                <w:sz w:val="18"/>
                <w:szCs w:val="21"/>
                <w:highlight w:val="none"/>
              </w:rPr>
              <w:t>（服务对象单位名称）</w:t>
            </w:r>
          </w:p>
        </w:tc>
        <w:tc>
          <w:tcPr>
            <w:tcW w:w="763" w:type="dxa"/>
            <w:tcMar>
              <w:top w:w="57" w:type="dxa"/>
              <w:left w:w="0" w:type="dxa"/>
              <w:bottom w:w="57" w:type="dxa"/>
              <w:right w:w="0" w:type="dxa"/>
            </w:tcMar>
            <w:vAlign w:val="center"/>
          </w:tcPr>
          <w:p w14:paraId="695E5758">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项目名称</w:t>
            </w:r>
          </w:p>
        </w:tc>
        <w:tc>
          <w:tcPr>
            <w:tcW w:w="882" w:type="dxa"/>
            <w:tcMar>
              <w:top w:w="57" w:type="dxa"/>
              <w:left w:w="0" w:type="dxa"/>
              <w:bottom w:w="57" w:type="dxa"/>
              <w:right w:w="0" w:type="dxa"/>
            </w:tcMar>
            <w:vAlign w:val="center"/>
          </w:tcPr>
          <w:p w14:paraId="320A040A">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项目规模</w:t>
            </w:r>
          </w:p>
        </w:tc>
        <w:tc>
          <w:tcPr>
            <w:tcW w:w="1201" w:type="dxa"/>
            <w:tcMar>
              <w:top w:w="57" w:type="dxa"/>
              <w:left w:w="0" w:type="dxa"/>
              <w:bottom w:w="57" w:type="dxa"/>
              <w:right w:w="0" w:type="dxa"/>
            </w:tcMar>
            <w:vAlign w:val="center"/>
          </w:tcPr>
          <w:p w14:paraId="6D2706C6">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服务范围</w:t>
            </w:r>
          </w:p>
        </w:tc>
        <w:tc>
          <w:tcPr>
            <w:tcW w:w="1094" w:type="dxa"/>
            <w:tcMar>
              <w:top w:w="57" w:type="dxa"/>
              <w:left w:w="0" w:type="dxa"/>
              <w:bottom w:w="57" w:type="dxa"/>
              <w:right w:w="0" w:type="dxa"/>
            </w:tcMar>
            <w:vAlign w:val="center"/>
          </w:tcPr>
          <w:p w14:paraId="1B8E23D7">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服务期间</w:t>
            </w:r>
          </w:p>
          <w:p w14:paraId="317F3CC5">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年 月至 年 月</w:t>
            </w:r>
          </w:p>
        </w:tc>
        <w:tc>
          <w:tcPr>
            <w:tcW w:w="1008" w:type="dxa"/>
            <w:tcMar>
              <w:top w:w="57" w:type="dxa"/>
              <w:left w:w="0" w:type="dxa"/>
              <w:bottom w:w="57" w:type="dxa"/>
              <w:right w:w="0" w:type="dxa"/>
            </w:tcMar>
            <w:vAlign w:val="center"/>
          </w:tcPr>
          <w:p w14:paraId="6113FB62">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项目目前进度</w:t>
            </w:r>
          </w:p>
        </w:tc>
        <w:tc>
          <w:tcPr>
            <w:tcW w:w="1033" w:type="dxa"/>
            <w:tcMar>
              <w:top w:w="57" w:type="dxa"/>
              <w:left w:w="0" w:type="dxa"/>
              <w:bottom w:w="57" w:type="dxa"/>
              <w:right w:w="0" w:type="dxa"/>
            </w:tcMar>
            <w:vAlign w:val="center"/>
          </w:tcPr>
          <w:p w14:paraId="6081499A">
            <w:pPr>
              <w:spacing w:line="240" w:lineRule="exact"/>
              <w:jc w:val="center"/>
              <w:rPr>
                <w:rFonts w:ascii="宋体" w:hAnsi="宋体" w:cs="宋体"/>
                <w:b/>
                <w:sz w:val="18"/>
                <w:szCs w:val="21"/>
                <w:highlight w:val="none"/>
              </w:rPr>
            </w:pPr>
            <w:r>
              <w:rPr>
                <w:rFonts w:hint="eastAsia" w:ascii="宋体" w:hAnsi="宋体" w:cs="宋体"/>
                <w:b/>
                <w:sz w:val="18"/>
                <w:szCs w:val="21"/>
                <w:highlight w:val="none"/>
              </w:rPr>
              <w:t>服务人员人数（高峰</w:t>
            </w:r>
            <w:r>
              <w:rPr>
                <w:rFonts w:ascii="宋体" w:hAnsi="宋体" w:cs="宋体"/>
                <w:b/>
                <w:sz w:val="18"/>
                <w:szCs w:val="21"/>
                <w:highlight w:val="none"/>
              </w:rPr>
              <w:t>/平均）</w:t>
            </w:r>
          </w:p>
        </w:tc>
        <w:tc>
          <w:tcPr>
            <w:tcW w:w="1398" w:type="dxa"/>
            <w:tcMar>
              <w:top w:w="57" w:type="dxa"/>
              <w:left w:w="0" w:type="dxa"/>
              <w:bottom w:w="57" w:type="dxa"/>
              <w:right w:w="0" w:type="dxa"/>
            </w:tcMar>
            <w:vAlign w:val="center"/>
          </w:tcPr>
          <w:p w14:paraId="180485F4">
            <w:pPr>
              <w:pStyle w:val="31"/>
              <w:spacing w:line="240" w:lineRule="exact"/>
              <w:ind w:left="0" w:leftChars="0" w:right="0" w:rightChars="0"/>
              <w:rPr>
                <w:rFonts w:ascii="宋体" w:hAnsi="宋体" w:cs="宋体"/>
                <w:b/>
                <w:szCs w:val="21"/>
                <w:highlight w:val="none"/>
              </w:rPr>
            </w:pPr>
            <w:r>
              <w:rPr>
                <w:rFonts w:ascii="宋体" w:hAnsi="宋体" w:cs="宋体"/>
                <w:b/>
                <w:szCs w:val="21"/>
                <w:highlight w:val="none"/>
              </w:rPr>
              <w:t>建设单位联系人及电话</w:t>
            </w:r>
          </w:p>
          <w:p w14:paraId="0A6583D4">
            <w:pPr>
              <w:pStyle w:val="31"/>
              <w:spacing w:line="240" w:lineRule="exact"/>
              <w:ind w:left="0" w:leftChars="0" w:right="0" w:rightChars="0"/>
              <w:rPr>
                <w:rFonts w:ascii="宋体" w:hAnsi="宋体" w:cs="宋体"/>
                <w:b/>
                <w:szCs w:val="21"/>
                <w:highlight w:val="none"/>
              </w:rPr>
            </w:pPr>
            <w:r>
              <w:rPr>
                <w:rFonts w:ascii="宋体" w:hAnsi="宋体" w:cs="宋体"/>
                <w:b/>
                <w:kern w:val="0"/>
                <w:szCs w:val="21"/>
                <w:highlight w:val="none"/>
              </w:rPr>
              <w:t>（服务对象</w:t>
            </w:r>
            <w:r>
              <w:rPr>
                <w:rFonts w:hint="eastAsia" w:ascii="宋体" w:hAnsi="宋体" w:cs="宋体"/>
                <w:b/>
                <w:szCs w:val="21"/>
                <w:highlight w:val="none"/>
              </w:rPr>
              <w:t>联系</w:t>
            </w:r>
            <w:r>
              <w:rPr>
                <w:rFonts w:ascii="宋体" w:hAnsi="宋体" w:cs="宋体"/>
                <w:b/>
                <w:szCs w:val="21"/>
                <w:highlight w:val="none"/>
              </w:rPr>
              <w:t>信息</w:t>
            </w:r>
            <w:r>
              <w:rPr>
                <w:rFonts w:ascii="宋体" w:hAnsi="宋体" w:cs="宋体"/>
                <w:b/>
                <w:kern w:val="0"/>
                <w:szCs w:val="21"/>
                <w:highlight w:val="none"/>
              </w:rPr>
              <w:t>）</w:t>
            </w:r>
          </w:p>
        </w:tc>
      </w:tr>
      <w:tr w14:paraId="64894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tcMar>
              <w:top w:w="57" w:type="dxa"/>
              <w:left w:w="0" w:type="dxa"/>
              <w:bottom w:w="57" w:type="dxa"/>
              <w:right w:w="0" w:type="dxa"/>
            </w:tcMar>
            <w:vAlign w:val="center"/>
          </w:tcPr>
          <w:p w14:paraId="5B751CB6">
            <w:pPr>
              <w:pStyle w:val="31"/>
              <w:spacing w:line="240" w:lineRule="exact"/>
              <w:ind w:left="0" w:leftChars="0" w:right="0" w:rightChars="0"/>
              <w:rPr>
                <w:rFonts w:ascii="宋体" w:hAnsi="宋体"/>
                <w:kern w:val="21"/>
                <w:sz w:val="21"/>
                <w:szCs w:val="21"/>
                <w:highlight w:val="none"/>
              </w:rPr>
            </w:pPr>
          </w:p>
        </w:tc>
        <w:tc>
          <w:tcPr>
            <w:tcW w:w="763" w:type="dxa"/>
            <w:tcMar>
              <w:top w:w="57" w:type="dxa"/>
              <w:left w:w="0" w:type="dxa"/>
              <w:bottom w:w="57" w:type="dxa"/>
              <w:right w:w="0" w:type="dxa"/>
            </w:tcMar>
            <w:vAlign w:val="center"/>
          </w:tcPr>
          <w:p w14:paraId="13B2702B">
            <w:pPr>
              <w:pStyle w:val="31"/>
              <w:spacing w:line="240" w:lineRule="exact"/>
              <w:ind w:left="0" w:leftChars="0" w:right="0" w:rightChars="0"/>
              <w:rPr>
                <w:rFonts w:ascii="宋体" w:hAnsi="宋体"/>
                <w:kern w:val="21"/>
                <w:sz w:val="21"/>
                <w:szCs w:val="21"/>
                <w:highlight w:val="none"/>
              </w:rPr>
            </w:pPr>
          </w:p>
        </w:tc>
        <w:tc>
          <w:tcPr>
            <w:tcW w:w="882" w:type="dxa"/>
            <w:tcMar>
              <w:top w:w="57" w:type="dxa"/>
              <w:left w:w="0" w:type="dxa"/>
              <w:bottom w:w="57" w:type="dxa"/>
              <w:right w:w="0" w:type="dxa"/>
            </w:tcMar>
            <w:vAlign w:val="center"/>
          </w:tcPr>
          <w:p w14:paraId="19D211C6">
            <w:pPr>
              <w:pStyle w:val="31"/>
              <w:spacing w:line="240" w:lineRule="exact"/>
              <w:ind w:left="0" w:leftChars="0" w:right="0" w:rightChars="0"/>
              <w:rPr>
                <w:rFonts w:ascii="宋体" w:hAnsi="宋体"/>
                <w:kern w:val="21"/>
                <w:sz w:val="21"/>
                <w:szCs w:val="21"/>
                <w:highlight w:val="none"/>
              </w:rPr>
            </w:pPr>
          </w:p>
        </w:tc>
        <w:tc>
          <w:tcPr>
            <w:tcW w:w="1201" w:type="dxa"/>
            <w:tcMar>
              <w:top w:w="57" w:type="dxa"/>
              <w:left w:w="0" w:type="dxa"/>
              <w:bottom w:w="57" w:type="dxa"/>
              <w:right w:w="0" w:type="dxa"/>
            </w:tcMar>
            <w:vAlign w:val="center"/>
          </w:tcPr>
          <w:p w14:paraId="2881A523">
            <w:pPr>
              <w:pStyle w:val="31"/>
              <w:spacing w:line="240" w:lineRule="exact"/>
              <w:ind w:left="0" w:leftChars="0" w:right="0" w:rightChars="0"/>
              <w:rPr>
                <w:rFonts w:ascii="宋体" w:hAnsi="宋体"/>
                <w:kern w:val="21"/>
                <w:sz w:val="21"/>
                <w:szCs w:val="21"/>
                <w:highlight w:val="none"/>
              </w:rPr>
            </w:pPr>
          </w:p>
        </w:tc>
        <w:tc>
          <w:tcPr>
            <w:tcW w:w="1094" w:type="dxa"/>
            <w:tcMar>
              <w:top w:w="57" w:type="dxa"/>
              <w:left w:w="0" w:type="dxa"/>
              <w:bottom w:w="57" w:type="dxa"/>
              <w:right w:w="0" w:type="dxa"/>
            </w:tcMar>
            <w:vAlign w:val="center"/>
          </w:tcPr>
          <w:p w14:paraId="3352B405">
            <w:pPr>
              <w:pStyle w:val="31"/>
              <w:spacing w:line="240" w:lineRule="exact"/>
              <w:ind w:left="0" w:leftChars="0" w:right="0" w:rightChars="0"/>
              <w:rPr>
                <w:rFonts w:ascii="宋体" w:hAnsi="宋体"/>
                <w:kern w:val="21"/>
                <w:sz w:val="21"/>
                <w:szCs w:val="21"/>
                <w:highlight w:val="none"/>
              </w:rPr>
            </w:pPr>
          </w:p>
        </w:tc>
        <w:tc>
          <w:tcPr>
            <w:tcW w:w="1008" w:type="dxa"/>
            <w:tcMar>
              <w:top w:w="57" w:type="dxa"/>
              <w:left w:w="0" w:type="dxa"/>
              <w:bottom w:w="57" w:type="dxa"/>
              <w:right w:w="0" w:type="dxa"/>
            </w:tcMar>
            <w:vAlign w:val="center"/>
          </w:tcPr>
          <w:p w14:paraId="62B6E0D3">
            <w:pPr>
              <w:pStyle w:val="31"/>
              <w:spacing w:line="240" w:lineRule="exact"/>
              <w:ind w:left="0" w:leftChars="0" w:right="0" w:rightChars="0"/>
              <w:rPr>
                <w:rFonts w:ascii="宋体" w:hAnsi="宋体"/>
                <w:kern w:val="21"/>
                <w:sz w:val="21"/>
                <w:szCs w:val="21"/>
                <w:highlight w:val="none"/>
              </w:rPr>
            </w:pPr>
          </w:p>
        </w:tc>
        <w:tc>
          <w:tcPr>
            <w:tcW w:w="1033" w:type="dxa"/>
            <w:tcMar>
              <w:top w:w="57" w:type="dxa"/>
              <w:left w:w="0" w:type="dxa"/>
              <w:bottom w:w="57" w:type="dxa"/>
              <w:right w:w="0" w:type="dxa"/>
            </w:tcMar>
            <w:vAlign w:val="center"/>
          </w:tcPr>
          <w:p w14:paraId="15E832FF">
            <w:pPr>
              <w:pStyle w:val="31"/>
              <w:spacing w:line="240" w:lineRule="exact"/>
              <w:ind w:left="0" w:leftChars="0" w:right="0" w:rightChars="0"/>
              <w:rPr>
                <w:rFonts w:ascii="宋体" w:hAnsi="宋体"/>
                <w:kern w:val="21"/>
                <w:sz w:val="21"/>
                <w:szCs w:val="21"/>
                <w:highlight w:val="none"/>
              </w:rPr>
            </w:pPr>
          </w:p>
        </w:tc>
        <w:tc>
          <w:tcPr>
            <w:tcW w:w="1398" w:type="dxa"/>
            <w:tcMar>
              <w:top w:w="57" w:type="dxa"/>
              <w:left w:w="0" w:type="dxa"/>
              <w:bottom w:w="57" w:type="dxa"/>
              <w:right w:w="0" w:type="dxa"/>
            </w:tcMar>
            <w:vAlign w:val="center"/>
          </w:tcPr>
          <w:p w14:paraId="2B811AB3">
            <w:pPr>
              <w:pStyle w:val="31"/>
              <w:spacing w:line="240" w:lineRule="exact"/>
              <w:ind w:left="0" w:leftChars="0" w:right="0" w:rightChars="0"/>
              <w:rPr>
                <w:rFonts w:ascii="宋体" w:hAnsi="宋体"/>
                <w:kern w:val="21"/>
                <w:sz w:val="21"/>
                <w:szCs w:val="21"/>
                <w:highlight w:val="none"/>
              </w:rPr>
            </w:pPr>
          </w:p>
        </w:tc>
      </w:tr>
      <w:tr w14:paraId="6A441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tcMar>
              <w:top w:w="57" w:type="dxa"/>
              <w:left w:w="0" w:type="dxa"/>
              <w:bottom w:w="57" w:type="dxa"/>
              <w:right w:w="0" w:type="dxa"/>
            </w:tcMar>
            <w:vAlign w:val="center"/>
          </w:tcPr>
          <w:p w14:paraId="053A5415">
            <w:pPr>
              <w:pStyle w:val="31"/>
              <w:spacing w:line="240" w:lineRule="exact"/>
              <w:ind w:left="0" w:leftChars="0" w:right="0" w:rightChars="0"/>
              <w:rPr>
                <w:rFonts w:ascii="宋体" w:hAnsi="宋体"/>
                <w:kern w:val="21"/>
                <w:sz w:val="21"/>
                <w:szCs w:val="21"/>
                <w:highlight w:val="none"/>
              </w:rPr>
            </w:pPr>
          </w:p>
        </w:tc>
        <w:tc>
          <w:tcPr>
            <w:tcW w:w="763" w:type="dxa"/>
            <w:tcMar>
              <w:top w:w="57" w:type="dxa"/>
              <w:left w:w="0" w:type="dxa"/>
              <w:bottom w:w="57" w:type="dxa"/>
              <w:right w:w="0" w:type="dxa"/>
            </w:tcMar>
            <w:vAlign w:val="center"/>
          </w:tcPr>
          <w:p w14:paraId="18AA0252">
            <w:pPr>
              <w:pStyle w:val="31"/>
              <w:spacing w:line="240" w:lineRule="exact"/>
              <w:ind w:left="0" w:leftChars="0" w:right="0" w:rightChars="0"/>
              <w:rPr>
                <w:rFonts w:ascii="宋体" w:hAnsi="宋体"/>
                <w:kern w:val="21"/>
                <w:sz w:val="21"/>
                <w:szCs w:val="21"/>
                <w:highlight w:val="none"/>
              </w:rPr>
            </w:pPr>
          </w:p>
        </w:tc>
        <w:tc>
          <w:tcPr>
            <w:tcW w:w="882" w:type="dxa"/>
            <w:tcMar>
              <w:top w:w="57" w:type="dxa"/>
              <w:left w:w="0" w:type="dxa"/>
              <w:bottom w:w="57" w:type="dxa"/>
              <w:right w:w="0" w:type="dxa"/>
            </w:tcMar>
            <w:vAlign w:val="center"/>
          </w:tcPr>
          <w:p w14:paraId="5F531AA2">
            <w:pPr>
              <w:pStyle w:val="31"/>
              <w:spacing w:line="240" w:lineRule="exact"/>
              <w:ind w:left="0" w:leftChars="0" w:right="0" w:rightChars="0"/>
              <w:rPr>
                <w:rFonts w:ascii="宋体" w:hAnsi="宋体"/>
                <w:kern w:val="21"/>
                <w:sz w:val="21"/>
                <w:szCs w:val="21"/>
                <w:highlight w:val="none"/>
              </w:rPr>
            </w:pPr>
          </w:p>
        </w:tc>
        <w:tc>
          <w:tcPr>
            <w:tcW w:w="1201" w:type="dxa"/>
            <w:tcMar>
              <w:top w:w="57" w:type="dxa"/>
              <w:left w:w="0" w:type="dxa"/>
              <w:bottom w:w="57" w:type="dxa"/>
              <w:right w:w="0" w:type="dxa"/>
            </w:tcMar>
            <w:vAlign w:val="center"/>
          </w:tcPr>
          <w:p w14:paraId="7EF7A528">
            <w:pPr>
              <w:pStyle w:val="31"/>
              <w:spacing w:line="240" w:lineRule="exact"/>
              <w:ind w:left="0" w:leftChars="0" w:right="0" w:rightChars="0"/>
              <w:rPr>
                <w:rFonts w:ascii="宋体" w:hAnsi="宋体"/>
                <w:kern w:val="21"/>
                <w:sz w:val="21"/>
                <w:szCs w:val="21"/>
                <w:highlight w:val="none"/>
              </w:rPr>
            </w:pPr>
          </w:p>
        </w:tc>
        <w:tc>
          <w:tcPr>
            <w:tcW w:w="1094" w:type="dxa"/>
            <w:tcMar>
              <w:top w:w="57" w:type="dxa"/>
              <w:left w:w="0" w:type="dxa"/>
              <w:bottom w:w="57" w:type="dxa"/>
              <w:right w:w="0" w:type="dxa"/>
            </w:tcMar>
            <w:vAlign w:val="center"/>
          </w:tcPr>
          <w:p w14:paraId="0ED0202C">
            <w:pPr>
              <w:pStyle w:val="31"/>
              <w:spacing w:line="240" w:lineRule="exact"/>
              <w:ind w:left="0" w:leftChars="0" w:right="0" w:rightChars="0"/>
              <w:rPr>
                <w:rFonts w:ascii="宋体" w:hAnsi="宋体"/>
                <w:kern w:val="21"/>
                <w:sz w:val="21"/>
                <w:szCs w:val="21"/>
                <w:highlight w:val="none"/>
              </w:rPr>
            </w:pPr>
          </w:p>
        </w:tc>
        <w:tc>
          <w:tcPr>
            <w:tcW w:w="1008" w:type="dxa"/>
            <w:tcMar>
              <w:top w:w="57" w:type="dxa"/>
              <w:left w:w="0" w:type="dxa"/>
              <w:bottom w:w="57" w:type="dxa"/>
              <w:right w:w="0" w:type="dxa"/>
            </w:tcMar>
            <w:vAlign w:val="center"/>
          </w:tcPr>
          <w:p w14:paraId="1DA233A9">
            <w:pPr>
              <w:pStyle w:val="31"/>
              <w:spacing w:line="240" w:lineRule="exact"/>
              <w:ind w:left="0" w:leftChars="0" w:right="0" w:rightChars="0"/>
              <w:rPr>
                <w:rFonts w:ascii="宋体" w:hAnsi="宋体"/>
                <w:kern w:val="21"/>
                <w:sz w:val="21"/>
                <w:szCs w:val="21"/>
                <w:highlight w:val="none"/>
              </w:rPr>
            </w:pPr>
          </w:p>
        </w:tc>
        <w:tc>
          <w:tcPr>
            <w:tcW w:w="1033" w:type="dxa"/>
            <w:tcMar>
              <w:top w:w="57" w:type="dxa"/>
              <w:left w:w="0" w:type="dxa"/>
              <w:bottom w:w="57" w:type="dxa"/>
              <w:right w:w="0" w:type="dxa"/>
            </w:tcMar>
            <w:vAlign w:val="center"/>
          </w:tcPr>
          <w:p w14:paraId="2CFC407C">
            <w:pPr>
              <w:pStyle w:val="31"/>
              <w:spacing w:line="240" w:lineRule="exact"/>
              <w:ind w:left="0" w:leftChars="0" w:right="0" w:rightChars="0"/>
              <w:rPr>
                <w:rFonts w:ascii="宋体" w:hAnsi="宋体"/>
                <w:kern w:val="21"/>
                <w:sz w:val="21"/>
                <w:szCs w:val="21"/>
                <w:highlight w:val="none"/>
              </w:rPr>
            </w:pPr>
          </w:p>
        </w:tc>
        <w:tc>
          <w:tcPr>
            <w:tcW w:w="1398" w:type="dxa"/>
            <w:tcMar>
              <w:top w:w="57" w:type="dxa"/>
              <w:left w:w="0" w:type="dxa"/>
              <w:bottom w:w="57" w:type="dxa"/>
              <w:right w:w="0" w:type="dxa"/>
            </w:tcMar>
            <w:vAlign w:val="center"/>
          </w:tcPr>
          <w:p w14:paraId="3D95830C">
            <w:pPr>
              <w:pStyle w:val="31"/>
              <w:spacing w:line="240" w:lineRule="exact"/>
              <w:ind w:left="0" w:leftChars="0" w:right="0" w:rightChars="0"/>
              <w:rPr>
                <w:rFonts w:ascii="宋体" w:hAnsi="宋体"/>
                <w:kern w:val="21"/>
                <w:sz w:val="21"/>
                <w:szCs w:val="21"/>
                <w:highlight w:val="none"/>
              </w:rPr>
            </w:pPr>
          </w:p>
        </w:tc>
      </w:tr>
      <w:tr w14:paraId="47FD6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tcMar>
              <w:top w:w="57" w:type="dxa"/>
              <w:left w:w="0" w:type="dxa"/>
              <w:bottom w:w="57" w:type="dxa"/>
              <w:right w:w="0" w:type="dxa"/>
            </w:tcMar>
            <w:vAlign w:val="center"/>
          </w:tcPr>
          <w:p w14:paraId="4B3F0960">
            <w:pPr>
              <w:pStyle w:val="31"/>
              <w:spacing w:line="240" w:lineRule="exact"/>
              <w:ind w:left="0" w:leftChars="0" w:right="0" w:rightChars="0"/>
              <w:rPr>
                <w:rFonts w:ascii="宋体" w:hAnsi="宋体"/>
                <w:kern w:val="21"/>
                <w:sz w:val="21"/>
                <w:szCs w:val="21"/>
                <w:highlight w:val="none"/>
              </w:rPr>
            </w:pPr>
          </w:p>
        </w:tc>
        <w:tc>
          <w:tcPr>
            <w:tcW w:w="763" w:type="dxa"/>
            <w:tcMar>
              <w:top w:w="57" w:type="dxa"/>
              <w:left w:w="0" w:type="dxa"/>
              <w:bottom w:w="57" w:type="dxa"/>
              <w:right w:w="0" w:type="dxa"/>
            </w:tcMar>
            <w:vAlign w:val="center"/>
          </w:tcPr>
          <w:p w14:paraId="7F0DDAEC">
            <w:pPr>
              <w:pStyle w:val="31"/>
              <w:spacing w:line="240" w:lineRule="exact"/>
              <w:ind w:left="0" w:leftChars="0" w:right="0" w:rightChars="0"/>
              <w:rPr>
                <w:rFonts w:ascii="宋体" w:hAnsi="宋体"/>
                <w:kern w:val="21"/>
                <w:sz w:val="21"/>
                <w:szCs w:val="21"/>
                <w:highlight w:val="none"/>
              </w:rPr>
            </w:pPr>
          </w:p>
        </w:tc>
        <w:tc>
          <w:tcPr>
            <w:tcW w:w="882" w:type="dxa"/>
            <w:tcMar>
              <w:top w:w="57" w:type="dxa"/>
              <w:left w:w="0" w:type="dxa"/>
              <w:bottom w:w="57" w:type="dxa"/>
              <w:right w:w="0" w:type="dxa"/>
            </w:tcMar>
            <w:vAlign w:val="center"/>
          </w:tcPr>
          <w:p w14:paraId="42B781B5">
            <w:pPr>
              <w:pStyle w:val="31"/>
              <w:spacing w:line="240" w:lineRule="exact"/>
              <w:ind w:left="0" w:leftChars="0" w:right="0" w:rightChars="0"/>
              <w:rPr>
                <w:rFonts w:ascii="宋体" w:hAnsi="宋体"/>
                <w:kern w:val="21"/>
                <w:sz w:val="21"/>
                <w:szCs w:val="21"/>
                <w:highlight w:val="none"/>
              </w:rPr>
            </w:pPr>
          </w:p>
        </w:tc>
        <w:tc>
          <w:tcPr>
            <w:tcW w:w="1201" w:type="dxa"/>
            <w:tcMar>
              <w:top w:w="57" w:type="dxa"/>
              <w:left w:w="0" w:type="dxa"/>
              <w:bottom w:w="57" w:type="dxa"/>
              <w:right w:w="0" w:type="dxa"/>
            </w:tcMar>
            <w:vAlign w:val="center"/>
          </w:tcPr>
          <w:p w14:paraId="2894399B">
            <w:pPr>
              <w:pStyle w:val="31"/>
              <w:spacing w:line="240" w:lineRule="exact"/>
              <w:ind w:left="0" w:leftChars="0" w:right="0" w:rightChars="0"/>
              <w:rPr>
                <w:rFonts w:ascii="宋体" w:hAnsi="宋体"/>
                <w:kern w:val="21"/>
                <w:sz w:val="21"/>
                <w:szCs w:val="21"/>
                <w:highlight w:val="none"/>
              </w:rPr>
            </w:pPr>
          </w:p>
        </w:tc>
        <w:tc>
          <w:tcPr>
            <w:tcW w:w="1094" w:type="dxa"/>
            <w:tcMar>
              <w:top w:w="57" w:type="dxa"/>
              <w:left w:w="0" w:type="dxa"/>
              <w:bottom w:w="57" w:type="dxa"/>
              <w:right w:w="0" w:type="dxa"/>
            </w:tcMar>
            <w:vAlign w:val="center"/>
          </w:tcPr>
          <w:p w14:paraId="164A44CB">
            <w:pPr>
              <w:pStyle w:val="31"/>
              <w:spacing w:line="240" w:lineRule="exact"/>
              <w:ind w:left="0" w:leftChars="0" w:right="0" w:rightChars="0"/>
              <w:rPr>
                <w:rFonts w:ascii="宋体" w:hAnsi="宋体"/>
                <w:kern w:val="21"/>
                <w:sz w:val="21"/>
                <w:szCs w:val="21"/>
                <w:highlight w:val="none"/>
              </w:rPr>
            </w:pPr>
          </w:p>
        </w:tc>
        <w:tc>
          <w:tcPr>
            <w:tcW w:w="1008" w:type="dxa"/>
            <w:tcMar>
              <w:top w:w="57" w:type="dxa"/>
              <w:left w:w="0" w:type="dxa"/>
              <w:bottom w:w="57" w:type="dxa"/>
              <w:right w:w="0" w:type="dxa"/>
            </w:tcMar>
            <w:vAlign w:val="center"/>
          </w:tcPr>
          <w:p w14:paraId="0FB09621">
            <w:pPr>
              <w:pStyle w:val="31"/>
              <w:spacing w:line="240" w:lineRule="exact"/>
              <w:ind w:left="0" w:leftChars="0" w:right="0" w:rightChars="0"/>
              <w:rPr>
                <w:rFonts w:ascii="宋体" w:hAnsi="宋体"/>
                <w:kern w:val="21"/>
                <w:sz w:val="21"/>
                <w:szCs w:val="21"/>
                <w:highlight w:val="none"/>
              </w:rPr>
            </w:pPr>
          </w:p>
        </w:tc>
        <w:tc>
          <w:tcPr>
            <w:tcW w:w="1033" w:type="dxa"/>
            <w:tcMar>
              <w:top w:w="57" w:type="dxa"/>
              <w:left w:w="0" w:type="dxa"/>
              <w:bottom w:w="57" w:type="dxa"/>
              <w:right w:w="0" w:type="dxa"/>
            </w:tcMar>
            <w:vAlign w:val="center"/>
          </w:tcPr>
          <w:p w14:paraId="6B51F0A5">
            <w:pPr>
              <w:pStyle w:val="31"/>
              <w:spacing w:line="240" w:lineRule="exact"/>
              <w:ind w:left="0" w:leftChars="0" w:right="0" w:rightChars="0"/>
              <w:rPr>
                <w:rFonts w:ascii="宋体" w:hAnsi="宋体"/>
                <w:kern w:val="21"/>
                <w:sz w:val="21"/>
                <w:szCs w:val="21"/>
                <w:highlight w:val="none"/>
              </w:rPr>
            </w:pPr>
          </w:p>
        </w:tc>
        <w:tc>
          <w:tcPr>
            <w:tcW w:w="1398" w:type="dxa"/>
            <w:tcMar>
              <w:top w:w="57" w:type="dxa"/>
              <w:left w:w="0" w:type="dxa"/>
              <w:bottom w:w="57" w:type="dxa"/>
              <w:right w:w="0" w:type="dxa"/>
            </w:tcMar>
            <w:vAlign w:val="center"/>
          </w:tcPr>
          <w:p w14:paraId="4307F83C">
            <w:pPr>
              <w:pStyle w:val="31"/>
              <w:spacing w:line="240" w:lineRule="exact"/>
              <w:ind w:left="0" w:leftChars="0" w:right="0" w:rightChars="0"/>
              <w:rPr>
                <w:rFonts w:ascii="宋体" w:hAnsi="宋体"/>
                <w:kern w:val="21"/>
                <w:sz w:val="21"/>
                <w:szCs w:val="21"/>
                <w:highlight w:val="none"/>
              </w:rPr>
            </w:pPr>
          </w:p>
        </w:tc>
      </w:tr>
      <w:tr w14:paraId="2B5AA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tcMar>
              <w:top w:w="57" w:type="dxa"/>
              <w:left w:w="0" w:type="dxa"/>
              <w:bottom w:w="57" w:type="dxa"/>
              <w:right w:w="0" w:type="dxa"/>
            </w:tcMar>
            <w:vAlign w:val="center"/>
          </w:tcPr>
          <w:p w14:paraId="16D1A950">
            <w:pPr>
              <w:pStyle w:val="31"/>
              <w:spacing w:line="240" w:lineRule="exact"/>
              <w:ind w:left="0" w:leftChars="0" w:right="0" w:rightChars="0"/>
              <w:rPr>
                <w:rFonts w:ascii="宋体" w:hAnsi="宋体"/>
                <w:kern w:val="21"/>
                <w:sz w:val="21"/>
                <w:szCs w:val="21"/>
                <w:highlight w:val="none"/>
              </w:rPr>
            </w:pPr>
          </w:p>
        </w:tc>
        <w:tc>
          <w:tcPr>
            <w:tcW w:w="763" w:type="dxa"/>
            <w:tcMar>
              <w:top w:w="57" w:type="dxa"/>
              <w:left w:w="0" w:type="dxa"/>
              <w:bottom w:w="57" w:type="dxa"/>
              <w:right w:w="0" w:type="dxa"/>
            </w:tcMar>
            <w:vAlign w:val="center"/>
          </w:tcPr>
          <w:p w14:paraId="371E86A7">
            <w:pPr>
              <w:pStyle w:val="31"/>
              <w:spacing w:line="240" w:lineRule="exact"/>
              <w:ind w:left="0" w:leftChars="0" w:right="0" w:rightChars="0"/>
              <w:rPr>
                <w:rFonts w:ascii="宋体" w:hAnsi="宋体"/>
                <w:kern w:val="21"/>
                <w:sz w:val="21"/>
                <w:szCs w:val="21"/>
                <w:highlight w:val="none"/>
              </w:rPr>
            </w:pPr>
          </w:p>
        </w:tc>
        <w:tc>
          <w:tcPr>
            <w:tcW w:w="882" w:type="dxa"/>
            <w:tcMar>
              <w:top w:w="57" w:type="dxa"/>
              <w:left w:w="0" w:type="dxa"/>
              <w:bottom w:w="57" w:type="dxa"/>
              <w:right w:w="0" w:type="dxa"/>
            </w:tcMar>
            <w:vAlign w:val="center"/>
          </w:tcPr>
          <w:p w14:paraId="3C69012F">
            <w:pPr>
              <w:pStyle w:val="31"/>
              <w:spacing w:line="240" w:lineRule="exact"/>
              <w:ind w:left="0" w:leftChars="0" w:right="0" w:rightChars="0"/>
              <w:rPr>
                <w:rFonts w:ascii="宋体" w:hAnsi="宋体"/>
                <w:kern w:val="21"/>
                <w:sz w:val="21"/>
                <w:szCs w:val="21"/>
                <w:highlight w:val="none"/>
              </w:rPr>
            </w:pPr>
          </w:p>
        </w:tc>
        <w:tc>
          <w:tcPr>
            <w:tcW w:w="1201" w:type="dxa"/>
            <w:tcMar>
              <w:top w:w="57" w:type="dxa"/>
              <w:left w:w="0" w:type="dxa"/>
              <w:bottom w:w="57" w:type="dxa"/>
              <w:right w:w="0" w:type="dxa"/>
            </w:tcMar>
            <w:vAlign w:val="center"/>
          </w:tcPr>
          <w:p w14:paraId="296BA98D">
            <w:pPr>
              <w:pStyle w:val="31"/>
              <w:spacing w:line="240" w:lineRule="exact"/>
              <w:ind w:left="0" w:leftChars="0" w:right="0" w:rightChars="0"/>
              <w:rPr>
                <w:rFonts w:ascii="宋体" w:hAnsi="宋体"/>
                <w:kern w:val="21"/>
                <w:sz w:val="21"/>
                <w:szCs w:val="21"/>
                <w:highlight w:val="none"/>
              </w:rPr>
            </w:pPr>
          </w:p>
        </w:tc>
        <w:tc>
          <w:tcPr>
            <w:tcW w:w="1094" w:type="dxa"/>
            <w:tcMar>
              <w:top w:w="57" w:type="dxa"/>
              <w:left w:w="0" w:type="dxa"/>
              <w:bottom w:w="57" w:type="dxa"/>
              <w:right w:w="0" w:type="dxa"/>
            </w:tcMar>
            <w:vAlign w:val="center"/>
          </w:tcPr>
          <w:p w14:paraId="31D8D2B0">
            <w:pPr>
              <w:pStyle w:val="31"/>
              <w:spacing w:line="240" w:lineRule="exact"/>
              <w:ind w:left="0" w:leftChars="0" w:right="0" w:rightChars="0"/>
              <w:rPr>
                <w:rFonts w:ascii="宋体" w:hAnsi="宋体"/>
                <w:kern w:val="21"/>
                <w:sz w:val="21"/>
                <w:szCs w:val="21"/>
                <w:highlight w:val="none"/>
              </w:rPr>
            </w:pPr>
          </w:p>
        </w:tc>
        <w:tc>
          <w:tcPr>
            <w:tcW w:w="1008" w:type="dxa"/>
            <w:tcMar>
              <w:top w:w="57" w:type="dxa"/>
              <w:left w:w="0" w:type="dxa"/>
              <w:bottom w:w="57" w:type="dxa"/>
              <w:right w:w="0" w:type="dxa"/>
            </w:tcMar>
            <w:vAlign w:val="center"/>
          </w:tcPr>
          <w:p w14:paraId="25E3D58B">
            <w:pPr>
              <w:pStyle w:val="31"/>
              <w:spacing w:line="240" w:lineRule="exact"/>
              <w:ind w:left="0" w:leftChars="0" w:right="0" w:rightChars="0"/>
              <w:rPr>
                <w:rFonts w:ascii="宋体" w:hAnsi="宋体"/>
                <w:kern w:val="21"/>
                <w:sz w:val="21"/>
                <w:szCs w:val="21"/>
                <w:highlight w:val="none"/>
              </w:rPr>
            </w:pPr>
          </w:p>
        </w:tc>
        <w:tc>
          <w:tcPr>
            <w:tcW w:w="1033" w:type="dxa"/>
            <w:tcMar>
              <w:top w:w="57" w:type="dxa"/>
              <w:left w:w="0" w:type="dxa"/>
              <w:bottom w:w="57" w:type="dxa"/>
              <w:right w:w="0" w:type="dxa"/>
            </w:tcMar>
            <w:vAlign w:val="center"/>
          </w:tcPr>
          <w:p w14:paraId="7EEF1CF6">
            <w:pPr>
              <w:pStyle w:val="31"/>
              <w:spacing w:line="240" w:lineRule="exact"/>
              <w:ind w:left="0" w:leftChars="0" w:right="0" w:rightChars="0"/>
              <w:rPr>
                <w:rFonts w:ascii="宋体" w:hAnsi="宋体"/>
                <w:kern w:val="21"/>
                <w:sz w:val="21"/>
                <w:szCs w:val="21"/>
                <w:highlight w:val="none"/>
              </w:rPr>
            </w:pPr>
          </w:p>
        </w:tc>
        <w:tc>
          <w:tcPr>
            <w:tcW w:w="1398" w:type="dxa"/>
            <w:tcMar>
              <w:top w:w="57" w:type="dxa"/>
              <w:left w:w="0" w:type="dxa"/>
              <w:bottom w:w="57" w:type="dxa"/>
              <w:right w:w="0" w:type="dxa"/>
            </w:tcMar>
            <w:vAlign w:val="center"/>
          </w:tcPr>
          <w:p w14:paraId="7F82840D">
            <w:pPr>
              <w:pStyle w:val="31"/>
              <w:spacing w:line="240" w:lineRule="exact"/>
              <w:ind w:left="0" w:leftChars="0" w:right="0" w:rightChars="0"/>
              <w:rPr>
                <w:rFonts w:ascii="宋体" w:hAnsi="宋体"/>
                <w:kern w:val="21"/>
                <w:sz w:val="21"/>
                <w:szCs w:val="21"/>
                <w:highlight w:val="none"/>
              </w:rPr>
            </w:pPr>
          </w:p>
        </w:tc>
      </w:tr>
    </w:tbl>
    <w:p w14:paraId="147A908D">
      <w:pPr>
        <w:adjustRightInd w:val="0"/>
        <w:snapToGrid w:val="0"/>
        <w:spacing w:line="400" w:lineRule="exact"/>
        <w:ind w:firstLine="480" w:firstLineChars="200"/>
        <w:rPr>
          <w:rFonts w:ascii="宋体" w:hAnsi="宋体"/>
          <w:kern w:val="18"/>
          <w:szCs w:val="21"/>
          <w:highlight w:val="none"/>
        </w:rPr>
      </w:pPr>
      <w:r>
        <w:rPr>
          <w:rFonts w:hint="eastAsia" w:ascii="黑体" w:eastAsia="黑体"/>
          <w:kern w:val="18"/>
          <w:szCs w:val="21"/>
          <w:highlight w:val="none"/>
        </w:rPr>
        <w:t>编制说明：</w:t>
      </w:r>
    </w:p>
    <w:p w14:paraId="5F38277D">
      <w:pPr>
        <w:ind w:firstLine="480" w:firstLineChars="200"/>
        <w:rPr>
          <w:rFonts w:ascii="宋体" w:hAnsi="宋体" w:cs="宋体"/>
          <w:highlight w:val="none"/>
        </w:rPr>
      </w:pPr>
      <w:r>
        <w:rPr>
          <w:rFonts w:hint="eastAsia" w:ascii="宋体" w:hAnsi="宋体" w:cs="宋体"/>
          <w:highlight w:val="none"/>
        </w:rPr>
        <w:t>1.应答人须按照</w:t>
      </w:r>
      <w:r>
        <w:rPr>
          <w:rFonts w:hint="eastAsia" w:ascii="宋体" w:hAnsi="宋体"/>
          <w:kern w:val="18"/>
          <w:szCs w:val="21"/>
          <w:highlight w:val="none"/>
        </w:rPr>
        <w:t>应答人须知前附表</w:t>
      </w:r>
      <w:r>
        <w:rPr>
          <w:rFonts w:hint="eastAsia" w:ascii="宋体" w:hAnsi="宋体" w:cs="宋体"/>
          <w:highlight w:val="none"/>
        </w:rPr>
        <w:t>提交业绩证明材料，证明材料须提供</w:t>
      </w:r>
      <w:r>
        <w:rPr>
          <w:rFonts w:hint="eastAsia" w:ascii="宋体" w:hAnsi="宋体" w:cs="宋体"/>
          <w:b/>
          <w:bCs/>
          <w:color w:val="FF0000"/>
          <w:highlight w:val="none"/>
        </w:rPr>
        <w:t>合同关键页</w:t>
      </w:r>
      <w:r>
        <w:rPr>
          <w:rFonts w:hint="eastAsia" w:ascii="宋体" w:hAnsi="宋体" w:cs="宋体"/>
          <w:highlight w:val="none"/>
        </w:rPr>
        <w:t>（包括合同封面、签署页，项目规模、价格等内容）</w:t>
      </w:r>
      <w:r>
        <w:rPr>
          <w:rFonts w:hint="eastAsia"/>
          <w:b/>
          <w:bCs/>
          <w:color w:val="FF0000"/>
          <w:highlight w:val="none"/>
        </w:rPr>
        <w:t>；</w:t>
      </w:r>
      <w:r>
        <w:rPr>
          <w:rFonts w:hint="eastAsia" w:ascii="宋体" w:hAnsi="宋体" w:cs="宋体"/>
          <w:highlight w:val="none"/>
        </w:rPr>
        <w:t>上述内容必须涵盖第一章采购公告专用资格要求和</w:t>
      </w:r>
      <w:r>
        <w:rPr>
          <w:rFonts w:ascii="宋体" w:hAnsi="宋体"/>
          <w:snapToGrid w:val="0"/>
          <w:kern w:val="21"/>
          <w:szCs w:val="21"/>
          <w:highlight w:val="none"/>
          <w:lang w:val="zh-CN"/>
        </w:rPr>
        <w:t>应答人须知前附表附件</w:t>
      </w:r>
      <w:r>
        <w:rPr>
          <w:rFonts w:hint="eastAsia" w:ascii="宋体" w:hAnsi="宋体"/>
          <w:snapToGrid w:val="0"/>
          <w:kern w:val="21"/>
          <w:szCs w:val="21"/>
          <w:highlight w:val="none"/>
        </w:rPr>
        <w:t>一</w:t>
      </w:r>
      <w:r>
        <w:rPr>
          <w:rFonts w:ascii="宋体" w:hAnsi="宋体"/>
          <w:snapToGrid w:val="0"/>
          <w:kern w:val="21"/>
          <w:szCs w:val="21"/>
          <w:highlight w:val="none"/>
          <w:lang w:val="zh-CN"/>
        </w:rPr>
        <w:t>技术评分标准</w:t>
      </w:r>
      <w:r>
        <w:rPr>
          <w:rFonts w:hint="eastAsia" w:ascii="宋体" w:hAnsi="宋体" w:cs="宋体"/>
          <w:highlight w:val="none"/>
        </w:rPr>
        <w:t>所注明的业绩要求的所有信息，</w:t>
      </w:r>
      <w:r>
        <w:rPr>
          <w:rFonts w:hint="eastAsia" w:ascii="宋体" w:hAnsi="宋体" w:cs="宋体"/>
          <w:b/>
          <w:bCs/>
          <w:highlight w:val="none"/>
        </w:rPr>
        <w:t>不需提供整个合同文本，信息不全的证明材料不予认可。</w:t>
      </w:r>
    </w:p>
    <w:p w14:paraId="69FFD329">
      <w:pPr>
        <w:ind w:firstLine="480" w:firstLineChars="200"/>
        <w:rPr>
          <w:rFonts w:ascii="宋体" w:hAnsi="宋体" w:cs="宋体"/>
          <w:highlight w:val="none"/>
        </w:rPr>
      </w:pPr>
      <w:r>
        <w:rPr>
          <w:rFonts w:hint="eastAsia" w:ascii="宋体" w:hAnsi="宋体" w:cs="宋体"/>
          <w:highlight w:val="none"/>
        </w:rPr>
        <w:t>2.应对业绩证明材料进行编号，且与该表格对应业绩的序号一致，并按顺序编制，即对应序号1的业绩的所用证明材料编号全部为1，然后制作序号2的业绩的证明材料，以此类推。</w:t>
      </w:r>
    </w:p>
    <w:p w14:paraId="6C81A0C7">
      <w:pPr>
        <w:adjustRightInd w:val="0"/>
        <w:snapToGrid w:val="0"/>
        <w:spacing w:line="400" w:lineRule="exact"/>
        <w:ind w:firstLine="482" w:firstLineChars="200"/>
        <w:rPr>
          <w:rFonts w:ascii="宋体" w:hAnsi="宋体" w:cs="宋体"/>
          <w:color w:val="000000" w:themeColor="text1"/>
          <w:kern w:val="18"/>
          <w:szCs w:val="21"/>
          <w:highlight w:val="none"/>
          <w14:textFill>
            <w14:solidFill>
              <w14:schemeClr w14:val="tx1"/>
            </w14:solidFill>
          </w14:textFill>
        </w:rPr>
      </w:pPr>
      <w:r>
        <w:rPr>
          <w:rFonts w:hint="eastAsia"/>
          <w:b/>
          <w:bCs/>
          <w:color w:val="FF0000"/>
          <w:highlight w:val="none"/>
        </w:rPr>
        <w:t xml:space="preserve">3. </w:t>
      </w:r>
      <w:r>
        <w:rPr>
          <w:rFonts w:hint="eastAsia" w:ascii="宋体" w:hAnsi="宋体"/>
          <w:kern w:val="18"/>
          <w:szCs w:val="21"/>
          <w:highlight w:val="none"/>
        </w:rPr>
        <w:t>劳务分包性质的业绩不作为采购文件要求的有效业绩</w:t>
      </w:r>
      <w:r>
        <w:rPr>
          <w:rFonts w:hint="eastAsia" w:ascii="宋体" w:hAnsi="宋体" w:cs="宋体"/>
          <w:color w:val="000000" w:themeColor="text1"/>
          <w:kern w:val="18"/>
          <w:szCs w:val="21"/>
          <w:highlight w:val="none"/>
          <w14:textFill>
            <w14:solidFill>
              <w14:schemeClr w14:val="tx1"/>
            </w14:solidFill>
          </w14:textFill>
        </w:rPr>
        <w:t>。</w:t>
      </w:r>
    </w:p>
    <w:p w14:paraId="780BFEA7">
      <w:pPr>
        <w:adjustRightInd w:val="0"/>
        <w:snapToGrid w:val="0"/>
        <w:spacing w:line="400" w:lineRule="exact"/>
        <w:ind w:firstLine="480" w:firstLineChars="200"/>
        <w:rPr>
          <w:rFonts w:hint="eastAsia" w:ascii="宋体" w:hAnsi="宋体" w:cs="宋体"/>
          <w:color w:val="000000" w:themeColor="text1"/>
          <w:kern w:val="18"/>
          <w:szCs w:val="21"/>
          <w:highlight w:val="none"/>
          <w14:textFill>
            <w14:solidFill>
              <w14:schemeClr w14:val="tx1"/>
            </w14:solidFill>
          </w14:textFill>
        </w:rPr>
      </w:pPr>
    </w:p>
    <w:p w14:paraId="0EB22E8D">
      <w:pPr>
        <w:adjustRightInd w:val="0"/>
        <w:snapToGrid w:val="0"/>
        <w:spacing w:before="317" w:beforeLines="100" w:after="158" w:afterLines="50"/>
        <w:outlineLvl w:val="1"/>
        <w:rPr>
          <w:rFonts w:ascii="黑体" w:eastAsia="黑体"/>
          <w:color w:val="000000" w:themeColor="text1"/>
          <w:sz w:val="24"/>
          <w:highlight w:val="none"/>
          <w14:textFill>
            <w14:solidFill>
              <w14:schemeClr w14:val="tx1"/>
            </w14:solidFill>
          </w14:textFill>
        </w:rPr>
        <w:sectPr>
          <w:pgSz w:w="11905" w:h="16838"/>
          <w:pgMar w:top="1134" w:right="1803" w:bottom="1134" w:left="1803" w:header="850" w:footer="992" w:gutter="0"/>
          <w:pgBorders>
            <w:top w:val="none" w:sz="0" w:space="0"/>
            <w:left w:val="none" w:sz="0" w:space="0"/>
            <w:bottom w:val="none" w:sz="0" w:space="0"/>
            <w:right w:val="none" w:sz="0" w:space="0"/>
          </w:pgBorders>
          <w:cols w:space="0" w:num="1"/>
          <w:docGrid w:type="lines" w:linePitch="317" w:charSpace="0"/>
        </w:sectPr>
      </w:pPr>
    </w:p>
    <w:p w14:paraId="6A0B1863">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bookmarkStart w:id="144" w:name="_Toc12805"/>
      <w:bookmarkStart w:id="145" w:name="_Toc22220"/>
      <w:r>
        <w:rPr>
          <w:rFonts w:hint="eastAsia" w:ascii="黑体" w:hAnsi="Arial" w:eastAsia="黑体"/>
          <w:b/>
          <w:color w:val="000000" w:themeColor="text1"/>
          <w:sz w:val="24"/>
          <w:szCs w:val="28"/>
          <w:highlight w:val="none"/>
          <w:lang w:val="en-US" w:eastAsia="zh-CN"/>
          <w14:textFill>
            <w14:solidFill>
              <w14:schemeClr w14:val="tx1"/>
            </w14:solidFill>
          </w14:textFill>
        </w:rPr>
        <w:t>3</w:t>
      </w:r>
      <w:r>
        <w:rPr>
          <w:rFonts w:ascii="黑体" w:hAnsi="Arial" w:eastAsia="黑体"/>
          <w:b/>
          <w:color w:val="000000" w:themeColor="text1"/>
          <w:sz w:val="24"/>
          <w:szCs w:val="28"/>
          <w:highlight w:val="none"/>
          <w14:textFill>
            <w14:solidFill>
              <w14:schemeClr w14:val="tx1"/>
            </w14:solidFill>
          </w14:textFill>
        </w:rPr>
        <w:t>.</w:t>
      </w:r>
      <w:r>
        <w:rPr>
          <w:rFonts w:hint="eastAsia" w:ascii="黑体" w:hAnsi="Arial" w:eastAsia="黑体"/>
          <w:b/>
          <w:color w:val="000000" w:themeColor="text1"/>
          <w:sz w:val="24"/>
          <w:szCs w:val="28"/>
          <w:highlight w:val="none"/>
          <w14:textFill>
            <w14:solidFill>
              <w14:schemeClr w14:val="tx1"/>
            </w14:solidFill>
          </w14:textFill>
        </w:rPr>
        <w:t>项目团队情况</w:t>
      </w:r>
      <w:bookmarkEnd w:id="144"/>
      <w:bookmarkEnd w:id="145"/>
    </w:p>
    <w:p w14:paraId="5D66FFF6">
      <w:pPr>
        <w:spacing w:line="360" w:lineRule="auto"/>
        <w:ind w:left="240"/>
        <w:jc w:val="center"/>
        <w:rPr>
          <w:rFonts w:ascii="Arial" w:hAnsi="Arial" w:cs="Arial"/>
          <w:b/>
          <w:highlight w:val="none"/>
        </w:rPr>
      </w:pPr>
      <w:bookmarkStart w:id="146" w:name="_Toc26950"/>
      <w:bookmarkStart w:id="147" w:name="_Toc25113"/>
      <w:r>
        <w:rPr>
          <w:rFonts w:hint="eastAsia" w:ascii="Arial" w:hAnsi="Arial" w:cs="Arial"/>
          <w:b/>
          <w:highlight w:val="none"/>
        </w:rPr>
        <w:t>表</w:t>
      </w:r>
      <w:r>
        <w:rPr>
          <w:rFonts w:ascii="Arial" w:hAnsi="Arial" w:cs="Arial"/>
          <w:b/>
          <w:highlight w:val="none"/>
        </w:rPr>
        <w:t xml:space="preserve">1 </w:t>
      </w:r>
      <w:r>
        <w:rPr>
          <w:rFonts w:hint="eastAsia" w:ascii="Arial" w:hAnsi="Arial" w:cs="Arial"/>
          <w:b/>
          <w:highlight w:val="none"/>
        </w:rPr>
        <w:t>拟委任的主要人员汇总表</w:t>
      </w:r>
      <w:bookmarkEnd w:id="146"/>
      <w:bookmarkEnd w:id="147"/>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709"/>
        <w:gridCol w:w="709"/>
        <w:gridCol w:w="709"/>
        <w:gridCol w:w="992"/>
        <w:gridCol w:w="1134"/>
        <w:gridCol w:w="1134"/>
        <w:gridCol w:w="1267"/>
        <w:gridCol w:w="1193"/>
      </w:tblGrid>
      <w:tr w14:paraId="20199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75" w:type="dxa"/>
            <w:vMerge w:val="restart"/>
            <w:vAlign w:val="center"/>
          </w:tcPr>
          <w:p w14:paraId="3CC22D71">
            <w:pPr>
              <w:spacing w:line="280" w:lineRule="exact"/>
              <w:jc w:val="center"/>
              <w:rPr>
                <w:rFonts w:ascii="宋体" w:hAnsi="宋体" w:cs="宋体"/>
                <w:b/>
                <w:szCs w:val="21"/>
                <w:highlight w:val="none"/>
              </w:rPr>
            </w:pPr>
            <w:r>
              <w:rPr>
                <w:rFonts w:hint="eastAsia" w:ascii="宋体" w:hAnsi="宋体" w:cs="宋体"/>
                <w:b/>
                <w:szCs w:val="21"/>
                <w:highlight w:val="none"/>
              </w:rPr>
              <w:t>层级</w:t>
            </w:r>
          </w:p>
        </w:tc>
        <w:tc>
          <w:tcPr>
            <w:tcW w:w="709" w:type="dxa"/>
            <w:vMerge w:val="restart"/>
            <w:vAlign w:val="center"/>
          </w:tcPr>
          <w:p w14:paraId="2A11E971">
            <w:pPr>
              <w:spacing w:line="280" w:lineRule="exact"/>
              <w:jc w:val="center"/>
              <w:rPr>
                <w:rFonts w:ascii="宋体" w:hAnsi="宋体" w:cs="宋体"/>
                <w:b/>
                <w:szCs w:val="21"/>
                <w:highlight w:val="none"/>
              </w:rPr>
            </w:pPr>
            <w:r>
              <w:rPr>
                <w:rFonts w:hint="eastAsia" w:ascii="宋体" w:hAnsi="宋体" w:cs="宋体"/>
                <w:b/>
                <w:szCs w:val="21"/>
                <w:highlight w:val="none"/>
              </w:rPr>
              <w:t>职务</w:t>
            </w:r>
          </w:p>
        </w:tc>
        <w:tc>
          <w:tcPr>
            <w:tcW w:w="709" w:type="dxa"/>
            <w:vMerge w:val="restart"/>
            <w:vAlign w:val="center"/>
          </w:tcPr>
          <w:p w14:paraId="15642A65">
            <w:pPr>
              <w:spacing w:line="280" w:lineRule="exact"/>
              <w:jc w:val="center"/>
              <w:rPr>
                <w:rFonts w:ascii="宋体" w:hAnsi="宋体" w:cs="宋体"/>
                <w:b/>
                <w:szCs w:val="21"/>
                <w:highlight w:val="none"/>
              </w:rPr>
            </w:pPr>
            <w:r>
              <w:rPr>
                <w:rFonts w:hint="eastAsia" w:ascii="宋体" w:hAnsi="宋体" w:cs="宋体"/>
                <w:b/>
                <w:szCs w:val="21"/>
                <w:highlight w:val="none"/>
              </w:rPr>
              <w:t>姓名</w:t>
            </w:r>
          </w:p>
        </w:tc>
        <w:tc>
          <w:tcPr>
            <w:tcW w:w="709" w:type="dxa"/>
            <w:vMerge w:val="restart"/>
            <w:vAlign w:val="center"/>
          </w:tcPr>
          <w:p w14:paraId="2C22ECD1">
            <w:pPr>
              <w:spacing w:line="280" w:lineRule="exact"/>
              <w:jc w:val="center"/>
              <w:rPr>
                <w:rFonts w:ascii="宋体" w:hAnsi="宋体" w:cs="宋体"/>
                <w:b/>
                <w:szCs w:val="21"/>
                <w:highlight w:val="none"/>
              </w:rPr>
            </w:pPr>
            <w:r>
              <w:rPr>
                <w:rFonts w:hint="eastAsia" w:ascii="宋体" w:hAnsi="宋体" w:cs="宋体"/>
                <w:b/>
                <w:szCs w:val="21"/>
                <w:highlight w:val="none"/>
              </w:rPr>
              <w:t>职称</w:t>
            </w:r>
          </w:p>
        </w:tc>
        <w:tc>
          <w:tcPr>
            <w:tcW w:w="4527" w:type="dxa"/>
            <w:gridSpan w:val="4"/>
            <w:vAlign w:val="center"/>
          </w:tcPr>
          <w:p w14:paraId="0F06798C">
            <w:pPr>
              <w:spacing w:line="280" w:lineRule="exact"/>
              <w:jc w:val="center"/>
              <w:rPr>
                <w:rFonts w:ascii="宋体" w:hAnsi="宋体" w:cs="宋体"/>
                <w:b/>
                <w:szCs w:val="21"/>
                <w:highlight w:val="none"/>
              </w:rPr>
            </w:pPr>
            <w:r>
              <w:rPr>
                <w:rFonts w:hint="eastAsia" w:ascii="宋体" w:hAnsi="宋体" w:cs="宋体"/>
                <w:b/>
                <w:szCs w:val="21"/>
                <w:highlight w:val="none"/>
              </w:rPr>
              <w:t>执业或职业资格证明</w:t>
            </w:r>
          </w:p>
        </w:tc>
        <w:tc>
          <w:tcPr>
            <w:tcW w:w="1193" w:type="dxa"/>
            <w:vMerge w:val="restart"/>
            <w:vAlign w:val="center"/>
          </w:tcPr>
          <w:p w14:paraId="731EBBD9">
            <w:pPr>
              <w:spacing w:line="280" w:lineRule="exact"/>
              <w:jc w:val="center"/>
              <w:rPr>
                <w:rFonts w:ascii="宋体" w:hAnsi="宋体" w:cs="宋体"/>
                <w:b/>
                <w:szCs w:val="21"/>
                <w:highlight w:val="none"/>
              </w:rPr>
            </w:pPr>
            <w:r>
              <w:rPr>
                <w:rFonts w:hint="eastAsia" w:ascii="宋体" w:hAnsi="宋体" w:cs="宋体"/>
                <w:b/>
                <w:szCs w:val="21"/>
                <w:highlight w:val="none"/>
              </w:rPr>
              <w:t>备注</w:t>
            </w:r>
          </w:p>
        </w:tc>
      </w:tr>
      <w:tr w14:paraId="54DA0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75" w:type="dxa"/>
            <w:vMerge w:val="continue"/>
            <w:vAlign w:val="center"/>
          </w:tcPr>
          <w:p w14:paraId="63BBED57">
            <w:pPr>
              <w:spacing w:line="280" w:lineRule="exact"/>
              <w:jc w:val="center"/>
              <w:rPr>
                <w:rFonts w:ascii="宋体" w:hAnsi="宋体" w:cs="宋体"/>
                <w:b/>
                <w:szCs w:val="21"/>
                <w:highlight w:val="none"/>
              </w:rPr>
            </w:pPr>
          </w:p>
        </w:tc>
        <w:tc>
          <w:tcPr>
            <w:tcW w:w="709" w:type="dxa"/>
            <w:vMerge w:val="continue"/>
            <w:vAlign w:val="center"/>
          </w:tcPr>
          <w:p w14:paraId="4D3666E5">
            <w:pPr>
              <w:spacing w:line="280" w:lineRule="exact"/>
              <w:jc w:val="center"/>
              <w:rPr>
                <w:rFonts w:ascii="宋体" w:hAnsi="宋体" w:cs="宋体"/>
                <w:b/>
                <w:szCs w:val="21"/>
                <w:highlight w:val="none"/>
              </w:rPr>
            </w:pPr>
          </w:p>
        </w:tc>
        <w:tc>
          <w:tcPr>
            <w:tcW w:w="709" w:type="dxa"/>
            <w:vMerge w:val="continue"/>
            <w:vAlign w:val="center"/>
          </w:tcPr>
          <w:p w14:paraId="115125CF">
            <w:pPr>
              <w:spacing w:line="280" w:lineRule="exact"/>
              <w:jc w:val="center"/>
              <w:rPr>
                <w:rFonts w:ascii="宋体" w:hAnsi="宋体" w:cs="宋体"/>
                <w:b/>
                <w:szCs w:val="21"/>
                <w:highlight w:val="none"/>
              </w:rPr>
            </w:pPr>
          </w:p>
        </w:tc>
        <w:tc>
          <w:tcPr>
            <w:tcW w:w="709" w:type="dxa"/>
            <w:vMerge w:val="continue"/>
            <w:vAlign w:val="center"/>
          </w:tcPr>
          <w:p w14:paraId="7ED2CDD3">
            <w:pPr>
              <w:spacing w:line="280" w:lineRule="exact"/>
              <w:jc w:val="center"/>
              <w:rPr>
                <w:rFonts w:ascii="宋体" w:hAnsi="宋体" w:cs="宋体"/>
                <w:b/>
                <w:szCs w:val="21"/>
                <w:highlight w:val="none"/>
              </w:rPr>
            </w:pPr>
          </w:p>
        </w:tc>
        <w:tc>
          <w:tcPr>
            <w:tcW w:w="992" w:type="dxa"/>
            <w:vAlign w:val="center"/>
          </w:tcPr>
          <w:p w14:paraId="3964930E">
            <w:pPr>
              <w:spacing w:line="280" w:lineRule="exact"/>
              <w:jc w:val="center"/>
              <w:rPr>
                <w:rFonts w:ascii="宋体" w:hAnsi="宋体" w:cs="宋体"/>
                <w:b/>
                <w:szCs w:val="21"/>
                <w:highlight w:val="none"/>
              </w:rPr>
            </w:pPr>
            <w:r>
              <w:rPr>
                <w:rFonts w:hint="eastAsia" w:ascii="宋体" w:hAnsi="宋体" w:cs="宋体"/>
                <w:b/>
                <w:szCs w:val="21"/>
                <w:highlight w:val="none"/>
              </w:rPr>
              <w:t>证书名称</w:t>
            </w:r>
          </w:p>
        </w:tc>
        <w:tc>
          <w:tcPr>
            <w:tcW w:w="1134" w:type="dxa"/>
            <w:vAlign w:val="center"/>
          </w:tcPr>
          <w:p w14:paraId="6BDC0EC3">
            <w:pPr>
              <w:spacing w:line="280" w:lineRule="exact"/>
              <w:jc w:val="center"/>
              <w:rPr>
                <w:rFonts w:ascii="宋体" w:hAnsi="宋体" w:cs="宋体"/>
                <w:b/>
                <w:szCs w:val="21"/>
                <w:highlight w:val="none"/>
              </w:rPr>
            </w:pPr>
            <w:r>
              <w:rPr>
                <w:rFonts w:hint="eastAsia" w:ascii="宋体" w:hAnsi="宋体" w:cs="宋体"/>
                <w:b/>
                <w:szCs w:val="21"/>
                <w:highlight w:val="none"/>
              </w:rPr>
              <w:t>级别</w:t>
            </w:r>
          </w:p>
        </w:tc>
        <w:tc>
          <w:tcPr>
            <w:tcW w:w="1134" w:type="dxa"/>
            <w:vAlign w:val="center"/>
          </w:tcPr>
          <w:p w14:paraId="65E55E9D">
            <w:pPr>
              <w:spacing w:line="280" w:lineRule="exact"/>
              <w:jc w:val="center"/>
              <w:rPr>
                <w:rFonts w:ascii="宋体" w:hAnsi="宋体" w:cs="宋体"/>
                <w:b/>
                <w:szCs w:val="21"/>
                <w:highlight w:val="none"/>
              </w:rPr>
            </w:pPr>
            <w:r>
              <w:rPr>
                <w:rFonts w:hint="eastAsia" w:ascii="宋体" w:hAnsi="宋体" w:cs="宋体"/>
                <w:b/>
                <w:szCs w:val="21"/>
                <w:highlight w:val="none"/>
              </w:rPr>
              <w:t>证号</w:t>
            </w:r>
          </w:p>
        </w:tc>
        <w:tc>
          <w:tcPr>
            <w:tcW w:w="1267" w:type="dxa"/>
            <w:vAlign w:val="center"/>
          </w:tcPr>
          <w:p w14:paraId="27095397">
            <w:pPr>
              <w:spacing w:line="280" w:lineRule="exact"/>
              <w:jc w:val="center"/>
              <w:rPr>
                <w:rFonts w:ascii="宋体" w:hAnsi="宋体" w:cs="宋体"/>
                <w:b/>
                <w:szCs w:val="21"/>
                <w:highlight w:val="none"/>
              </w:rPr>
            </w:pPr>
            <w:r>
              <w:rPr>
                <w:rFonts w:hint="eastAsia" w:ascii="宋体" w:hAnsi="宋体" w:cs="宋体"/>
                <w:b/>
                <w:szCs w:val="21"/>
                <w:highlight w:val="none"/>
              </w:rPr>
              <w:t>专业</w:t>
            </w:r>
          </w:p>
        </w:tc>
        <w:tc>
          <w:tcPr>
            <w:tcW w:w="1193" w:type="dxa"/>
            <w:vMerge w:val="continue"/>
            <w:vAlign w:val="center"/>
          </w:tcPr>
          <w:p w14:paraId="2763F7E0">
            <w:pPr>
              <w:spacing w:line="280" w:lineRule="exact"/>
              <w:jc w:val="center"/>
              <w:rPr>
                <w:rFonts w:ascii="宋体" w:hAnsi="宋体" w:cs="宋体"/>
                <w:b/>
                <w:szCs w:val="21"/>
                <w:highlight w:val="none"/>
              </w:rPr>
            </w:pPr>
          </w:p>
        </w:tc>
      </w:tr>
      <w:tr w14:paraId="5681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exact"/>
        </w:trPr>
        <w:tc>
          <w:tcPr>
            <w:tcW w:w="675" w:type="dxa"/>
            <w:vAlign w:val="center"/>
          </w:tcPr>
          <w:p w14:paraId="6079C8BA">
            <w:pPr>
              <w:rPr>
                <w:rFonts w:ascii="宋体" w:hAnsi="宋体" w:cs="宋体"/>
                <w:szCs w:val="21"/>
                <w:highlight w:val="none"/>
              </w:rPr>
            </w:pPr>
          </w:p>
        </w:tc>
        <w:tc>
          <w:tcPr>
            <w:tcW w:w="709" w:type="dxa"/>
            <w:vAlign w:val="center"/>
          </w:tcPr>
          <w:p w14:paraId="1BAEEE2F">
            <w:pPr>
              <w:rPr>
                <w:rFonts w:ascii="宋体" w:hAnsi="宋体" w:cs="宋体"/>
                <w:szCs w:val="21"/>
                <w:highlight w:val="none"/>
              </w:rPr>
            </w:pPr>
          </w:p>
        </w:tc>
        <w:tc>
          <w:tcPr>
            <w:tcW w:w="709" w:type="dxa"/>
            <w:vAlign w:val="center"/>
          </w:tcPr>
          <w:p w14:paraId="42E3E7A3">
            <w:pPr>
              <w:rPr>
                <w:rFonts w:ascii="宋体" w:hAnsi="宋体" w:cs="宋体"/>
                <w:szCs w:val="21"/>
                <w:highlight w:val="none"/>
              </w:rPr>
            </w:pPr>
          </w:p>
        </w:tc>
        <w:tc>
          <w:tcPr>
            <w:tcW w:w="709" w:type="dxa"/>
            <w:vAlign w:val="center"/>
          </w:tcPr>
          <w:p w14:paraId="1443F9BB">
            <w:pPr>
              <w:rPr>
                <w:rFonts w:ascii="宋体" w:hAnsi="宋体" w:cs="宋体"/>
                <w:szCs w:val="21"/>
                <w:highlight w:val="none"/>
              </w:rPr>
            </w:pPr>
          </w:p>
        </w:tc>
        <w:tc>
          <w:tcPr>
            <w:tcW w:w="992" w:type="dxa"/>
            <w:vAlign w:val="center"/>
          </w:tcPr>
          <w:p w14:paraId="69AECA91">
            <w:pPr>
              <w:rPr>
                <w:rFonts w:ascii="宋体" w:hAnsi="宋体" w:cs="宋体"/>
                <w:szCs w:val="21"/>
                <w:highlight w:val="none"/>
              </w:rPr>
            </w:pPr>
          </w:p>
        </w:tc>
        <w:tc>
          <w:tcPr>
            <w:tcW w:w="1134" w:type="dxa"/>
            <w:vAlign w:val="center"/>
          </w:tcPr>
          <w:p w14:paraId="07E333C2">
            <w:pPr>
              <w:rPr>
                <w:rFonts w:ascii="宋体" w:hAnsi="宋体" w:cs="宋体"/>
                <w:szCs w:val="21"/>
                <w:highlight w:val="none"/>
              </w:rPr>
            </w:pPr>
          </w:p>
        </w:tc>
        <w:tc>
          <w:tcPr>
            <w:tcW w:w="1134" w:type="dxa"/>
            <w:vAlign w:val="center"/>
          </w:tcPr>
          <w:p w14:paraId="5FDC576B">
            <w:pPr>
              <w:rPr>
                <w:rFonts w:ascii="宋体" w:hAnsi="宋体" w:cs="宋体"/>
                <w:szCs w:val="21"/>
                <w:highlight w:val="none"/>
              </w:rPr>
            </w:pPr>
          </w:p>
        </w:tc>
        <w:tc>
          <w:tcPr>
            <w:tcW w:w="1267" w:type="dxa"/>
            <w:vAlign w:val="center"/>
          </w:tcPr>
          <w:p w14:paraId="7880A523">
            <w:pPr>
              <w:rPr>
                <w:rFonts w:ascii="宋体" w:hAnsi="宋体" w:cs="宋体"/>
                <w:szCs w:val="21"/>
                <w:highlight w:val="none"/>
              </w:rPr>
            </w:pPr>
          </w:p>
        </w:tc>
        <w:tc>
          <w:tcPr>
            <w:tcW w:w="1193" w:type="dxa"/>
            <w:vAlign w:val="center"/>
          </w:tcPr>
          <w:p w14:paraId="38156CD3">
            <w:pPr>
              <w:rPr>
                <w:rFonts w:ascii="宋体" w:hAnsi="宋体" w:cs="宋体"/>
                <w:szCs w:val="21"/>
                <w:highlight w:val="none"/>
              </w:rPr>
            </w:pPr>
          </w:p>
        </w:tc>
      </w:tr>
      <w:tr w14:paraId="09A61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vAlign w:val="center"/>
          </w:tcPr>
          <w:p w14:paraId="5CA2BDC1">
            <w:pPr>
              <w:rPr>
                <w:rFonts w:ascii="宋体" w:hAnsi="宋体" w:cs="宋体"/>
                <w:szCs w:val="21"/>
                <w:highlight w:val="none"/>
              </w:rPr>
            </w:pPr>
          </w:p>
        </w:tc>
        <w:tc>
          <w:tcPr>
            <w:tcW w:w="709" w:type="dxa"/>
            <w:vAlign w:val="center"/>
          </w:tcPr>
          <w:p w14:paraId="06F7775A">
            <w:pPr>
              <w:rPr>
                <w:rFonts w:ascii="宋体" w:hAnsi="宋体" w:cs="宋体"/>
                <w:szCs w:val="21"/>
                <w:highlight w:val="none"/>
              </w:rPr>
            </w:pPr>
          </w:p>
        </w:tc>
        <w:tc>
          <w:tcPr>
            <w:tcW w:w="709" w:type="dxa"/>
            <w:vAlign w:val="center"/>
          </w:tcPr>
          <w:p w14:paraId="1B6D6CC3">
            <w:pPr>
              <w:rPr>
                <w:rFonts w:ascii="宋体" w:hAnsi="宋体" w:cs="宋体"/>
                <w:szCs w:val="21"/>
                <w:highlight w:val="none"/>
              </w:rPr>
            </w:pPr>
          </w:p>
        </w:tc>
        <w:tc>
          <w:tcPr>
            <w:tcW w:w="709" w:type="dxa"/>
            <w:vAlign w:val="center"/>
          </w:tcPr>
          <w:p w14:paraId="4AFD1852">
            <w:pPr>
              <w:rPr>
                <w:rFonts w:ascii="宋体" w:hAnsi="宋体" w:cs="宋体"/>
                <w:szCs w:val="21"/>
                <w:highlight w:val="none"/>
              </w:rPr>
            </w:pPr>
          </w:p>
        </w:tc>
        <w:tc>
          <w:tcPr>
            <w:tcW w:w="992" w:type="dxa"/>
            <w:vAlign w:val="center"/>
          </w:tcPr>
          <w:p w14:paraId="36B67B69">
            <w:pPr>
              <w:rPr>
                <w:rFonts w:ascii="宋体" w:hAnsi="宋体" w:cs="宋体"/>
                <w:szCs w:val="21"/>
                <w:highlight w:val="none"/>
              </w:rPr>
            </w:pPr>
          </w:p>
        </w:tc>
        <w:tc>
          <w:tcPr>
            <w:tcW w:w="1134" w:type="dxa"/>
            <w:vAlign w:val="center"/>
          </w:tcPr>
          <w:p w14:paraId="6ECF2E2A">
            <w:pPr>
              <w:rPr>
                <w:rFonts w:ascii="宋体" w:hAnsi="宋体" w:cs="宋体"/>
                <w:szCs w:val="21"/>
                <w:highlight w:val="none"/>
              </w:rPr>
            </w:pPr>
          </w:p>
        </w:tc>
        <w:tc>
          <w:tcPr>
            <w:tcW w:w="1134" w:type="dxa"/>
            <w:vAlign w:val="center"/>
          </w:tcPr>
          <w:p w14:paraId="14A00824">
            <w:pPr>
              <w:rPr>
                <w:rFonts w:ascii="宋体" w:hAnsi="宋体" w:cs="宋体"/>
                <w:szCs w:val="21"/>
                <w:highlight w:val="none"/>
              </w:rPr>
            </w:pPr>
          </w:p>
        </w:tc>
        <w:tc>
          <w:tcPr>
            <w:tcW w:w="1267" w:type="dxa"/>
            <w:vAlign w:val="center"/>
          </w:tcPr>
          <w:p w14:paraId="22987E94">
            <w:pPr>
              <w:rPr>
                <w:rFonts w:ascii="宋体" w:hAnsi="宋体" w:cs="宋体"/>
                <w:szCs w:val="21"/>
                <w:highlight w:val="none"/>
              </w:rPr>
            </w:pPr>
          </w:p>
        </w:tc>
        <w:tc>
          <w:tcPr>
            <w:tcW w:w="1193" w:type="dxa"/>
            <w:vAlign w:val="center"/>
          </w:tcPr>
          <w:p w14:paraId="3DDE5BE6">
            <w:pPr>
              <w:rPr>
                <w:rFonts w:ascii="宋体" w:hAnsi="宋体" w:cs="宋体"/>
                <w:szCs w:val="21"/>
                <w:highlight w:val="none"/>
              </w:rPr>
            </w:pPr>
          </w:p>
        </w:tc>
      </w:tr>
      <w:tr w14:paraId="0F8B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vAlign w:val="center"/>
          </w:tcPr>
          <w:p w14:paraId="7C15F94A">
            <w:pPr>
              <w:rPr>
                <w:rFonts w:ascii="宋体" w:hAnsi="宋体" w:cs="宋体"/>
                <w:szCs w:val="21"/>
                <w:highlight w:val="none"/>
              </w:rPr>
            </w:pPr>
          </w:p>
        </w:tc>
        <w:tc>
          <w:tcPr>
            <w:tcW w:w="709" w:type="dxa"/>
            <w:vAlign w:val="center"/>
          </w:tcPr>
          <w:p w14:paraId="2D2E098A">
            <w:pPr>
              <w:rPr>
                <w:rFonts w:ascii="宋体" w:hAnsi="宋体" w:cs="宋体"/>
                <w:szCs w:val="21"/>
                <w:highlight w:val="none"/>
              </w:rPr>
            </w:pPr>
          </w:p>
        </w:tc>
        <w:tc>
          <w:tcPr>
            <w:tcW w:w="709" w:type="dxa"/>
            <w:vAlign w:val="center"/>
          </w:tcPr>
          <w:p w14:paraId="02F8B29E">
            <w:pPr>
              <w:rPr>
                <w:rFonts w:ascii="宋体" w:hAnsi="宋体" w:cs="宋体"/>
                <w:szCs w:val="21"/>
                <w:highlight w:val="none"/>
              </w:rPr>
            </w:pPr>
          </w:p>
        </w:tc>
        <w:tc>
          <w:tcPr>
            <w:tcW w:w="709" w:type="dxa"/>
            <w:vAlign w:val="center"/>
          </w:tcPr>
          <w:p w14:paraId="1F59AF41">
            <w:pPr>
              <w:rPr>
                <w:rFonts w:ascii="宋体" w:hAnsi="宋体" w:cs="宋体"/>
                <w:szCs w:val="21"/>
                <w:highlight w:val="none"/>
              </w:rPr>
            </w:pPr>
          </w:p>
        </w:tc>
        <w:tc>
          <w:tcPr>
            <w:tcW w:w="992" w:type="dxa"/>
            <w:vAlign w:val="center"/>
          </w:tcPr>
          <w:p w14:paraId="03F9C0DF">
            <w:pPr>
              <w:rPr>
                <w:rFonts w:ascii="宋体" w:hAnsi="宋体" w:cs="宋体"/>
                <w:szCs w:val="21"/>
                <w:highlight w:val="none"/>
              </w:rPr>
            </w:pPr>
          </w:p>
        </w:tc>
        <w:tc>
          <w:tcPr>
            <w:tcW w:w="1134" w:type="dxa"/>
            <w:vAlign w:val="center"/>
          </w:tcPr>
          <w:p w14:paraId="34BD008E">
            <w:pPr>
              <w:rPr>
                <w:rFonts w:ascii="宋体" w:hAnsi="宋体" w:cs="宋体"/>
                <w:szCs w:val="21"/>
                <w:highlight w:val="none"/>
              </w:rPr>
            </w:pPr>
          </w:p>
        </w:tc>
        <w:tc>
          <w:tcPr>
            <w:tcW w:w="1134" w:type="dxa"/>
            <w:vAlign w:val="center"/>
          </w:tcPr>
          <w:p w14:paraId="6C176C50">
            <w:pPr>
              <w:rPr>
                <w:rFonts w:ascii="宋体" w:hAnsi="宋体" w:cs="宋体"/>
                <w:szCs w:val="21"/>
                <w:highlight w:val="none"/>
              </w:rPr>
            </w:pPr>
          </w:p>
        </w:tc>
        <w:tc>
          <w:tcPr>
            <w:tcW w:w="1267" w:type="dxa"/>
            <w:vAlign w:val="center"/>
          </w:tcPr>
          <w:p w14:paraId="1ACB1991">
            <w:pPr>
              <w:rPr>
                <w:rFonts w:ascii="宋体" w:hAnsi="宋体" w:cs="宋体"/>
                <w:szCs w:val="21"/>
                <w:highlight w:val="none"/>
              </w:rPr>
            </w:pPr>
          </w:p>
        </w:tc>
        <w:tc>
          <w:tcPr>
            <w:tcW w:w="1193" w:type="dxa"/>
            <w:vAlign w:val="center"/>
          </w:tcPr>
          <w:p w14:paraId="72857802">
            <w:pPr>
              <w:rPr>
                <w:rFonts w:ascii="宋体" w:hAnsi="宋体" w:cs="宋体"/>
                <w:szCs w:val="21"/>
                <w:highlight w:val="none"/>
              </w:rPr>
            </w:pPr>
          </w:p>
        </w:tc>
      </w:tr>
      <w:tr w14:paraId="7696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vAlign w:val="center"/>
          </w:tcPr>
          <w:p w14:paraId="341DB963">
            <w:pPr>
              <w:rPr>
                <w:rFonts w:ascii="宋体" w:hAnsi="宋体" w:cs="宋体"/>
                <w:szCs w:val="21"/>
                <w:highlight w:val="none"/>
              </w:rPr>
            </w:pPr>
          </w:p>
        </w:tc>
        <w:tc>
          <w:tcPr>
            <w:tcW w:w="709" w:type="dxa"/>
            <w:vAlign w:val="center"/>
          </w:tcPr>
          <w:p w14:paraId="0C99A69C">
            <w:pPr>
              <w:rPr>
                <w:rFonts w:ascii="宋体" w:hAnsi="宋体" w:cs="宋体"/>
                <w:szCs w:val="21"/>
                <w:highlight w:val="none"/>
              </w:rPr>
            </w:pPr>
          </w:p>
        </w:tc>
        <w:tc>
          <w:tcPr>
            <w:tcW w:w="709" w:type="dxa"/>
            <w:vAlign w:val="center"/>
          </w:tcPr>
          <w:p w14:paraId="7BC98B02">
            <w:pPr>
              <w:rPr>
                <w:rFonts w:ascii="宋体" w:hAnsi="宋体" w:cs="宋体"/>
                <w:szCs w:val="21"/>
                <w:highlight w:val="none"/>
              </w:rPr>
            </w:pPr>
          </w:p>
        </w:tc>
        <w:tc>
          <w:tcPr>
            <w:tcW w:w="709" w:type="dxa"/>
            <w:vAlign w:val="center"/>
          </w:tcPr>
          <w:p w14:paraId="2FF1578A">
            <w:pPr>
              <w:rPr>
                <w:rFonts w:ascii="宋体" w:hAnsi="宋体" w:cs="宋体"/>
                <w:szCs w:val="21"/>
                <w:highlight w:val="none"/>
              </w:rPr>
            </w:pPr>
          </w:p>
        </w:tc>
        <w:tc>
          <w:tcPr>
            <w:tcW w:w="992" w:type="dxa"/>
            <w:vAlign w:val="center"/>
          </w:tcPr>
          <w:p w14:paraId="250A4637">
            <w:pPr>
              <w:rPr>
                <w:rFonts w:ascii="宋体" w:hAnsi="宋体" w:cs="宋体"/>
                <w:szCs w:val="21"/>
                <w:highlight w:val="none"/>
              </w:rPr>
            </w:pPr>
          </w:p>
        </w:tc>
        <w:tc>
          <w:tcPr>
            <w:tcW w:w="1134" w:type="dxa"/>
            <w:vAlign w:val="center"/>
          </w:tcPr>
          <w:p w14:paraId="7B7BB149">
            <w:pPr>
              <w:rPr>
                <w:rFonts w:ascii="宋体" w:hAnsi="宋体" w:cs="宋体"/>
                <w:szCs w:val="21"/>
                <w:highlight w:val="none"/>
              </w:rPr>
            </w:pPr>
          </w:p>
        </w:tc>
        <w:tc>
          <w:tcPr>
            <w:tcW w:w="1134" w:type="dxa"/>
            <w:vAlign w:val="center"/>
          </w:tcPr>
          <w:p w14:paraId="7A13C14F">
            <w:pPr>
              <w:rPr>
                <w:rFonts w:ascii="宋体" w:hAnsi="宋体" w:cs="宋体"/>
                <w:szCs w:val="21"/>
                <w:highlight w:val="none"/>
              </w:rPr>
            </w:pPr>
          </w:p>
        </w:tc>
        <w:tc>
          <w:tcPr>
            <w:tcW w:w="1267" w:type="dxa"/>
            <w:vAlign w:val="center"/>
          </w:tcPr>
          <w:p w14:paraId="10C769E3">
            <w:pPr>
              <w:rPr>
                <w:rFonts w:ascii="宋体" w:hAnsi="宋体" w:cs="宋体"/>
                <w:szCs w:val="21"/>
                <w:highlight w:val="none"/>
              </w:rPr>
            </w:pPr>
          </w:p>
        </w:tc>
        <w:tc>
          <w:tcPr>
            <w:tcW w:w="1193" w:type="dxa"/>
            <w:vAlign w:val="center"/>
          </w:tcPr>
          <w:p w14:paraId="3548FB3E">
            <w:pPr>
              <w:rPr>
                <w:rFonts w:ascii="宋体" w:hAnsi="宋体" w:cs="宋体"/>
                <w:szCs w:val="21"/>
                <w:highlight w:val="none"/>
              </w:rPr>
            </w:pPr>
          </w:p>
        </w:tc>
      </w:tr>
      <w:tr w14:paraId="1B71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vAlign w:val="center"/>
          </w:tcPr>
          <w:p w14:paraId="09B1BC32">
            <w:pPr>
              <w:rPr>
                <w:rFonts w:ascii="宋体" w:hAnsi="宋体" w:cs="宋体"/>
                <w:szCs w:val="21"/>
                <w:highlight w:val="none"/>
              </w:rPr>
            </w:pPr>
          </w:p>
        </w:tc>
        <w:tc>
          <w:tcPr>
            <w:tcW w:w="709" w:type="dxa"/>
            <w:vAlign w:val="center"/>
          </w:tcPr>
          <w:p w14:paraId="3982504B">
            <w:pPr>
              <w:rPr>
                <w:rFonts w:ascii="宋体" w:hAnsi="宋体" w:cs="宋体"/>
                <w:szCs w:val="21"/>
                <w:highlight w:val="none"/>
              </w:rPr>
            </w:pPr>
          </w:p>
        </w:tc>
        <w:tc>
          <w:tcPr>
            <w:tcW w:w="709" w:type="dxa"/>
            <w:vAlign w:val="center"/>
          </w:tcPr>
          <w:p w14:paraId="5741160B">
            <w:pPr>
              <w:rPr>
                <w:rFonts w:ascii="宋体" w:hAnsi="宋体" w:cs="宋体"/>
                <w:szCs w:val="21"/>
                <w:highlight w:val="none"/>
              </w:rPr>
            </w:pPr>
          </w:p>
        </w:tc>
        <w:tc>
          <w:tcPr>
            <w:tcW w:w="709" w:type="dxa"/>
            <w:vAlign w:val="center"/>
          </w:tcPr>
          <w:p w14:paraId="3CF6D711">
            <w:pPr>
              <w:rPr>
                <w:rFonts w:ascii="宋体" w:hAnsi="宋体" w:cs="宋体"/>
                <w:szCs w:val="21"/>
                <w:highlight w:val="none"/>
              </w:rPr>
            </w:pPr>
          </w:p>
        </w:tc>
        <w:tc>
          <w:tcPr>
            <w:tcW w:w="992" w:type="dxa"/>
            <w:vAlign w:val="center"/>
          </w:tcPr>
          <w:p w14:paraId="75A6F341">
            <w:pPr>
              <w:rPr>
                <w:rFonts w:ascii="宋体" w:hAnsi="宋体" w:cs="宋体"/>
                <w:szCs w:val="21"/>
                <w:highlight w:val="none"/>
              </w:rPr>
            </w:pPr>
          </w:p>
        </w:tc>
        <w:tc>
          <w:tcPr>
            <w:tcW w:w="1134" w:type="dxa"/>
            <w:vAlign w:val="center"/>
          </w:tcPr>
          <w:p w14:paraId="103D1476">
            <w:pPr>
              <w:rPr>
                <w:rFonts w:ascii="宋体" w:hAnsi="宋体" w:cs="宋体"/>
                <w:szCs w:val="21"/>
                <w:highlight w:val="none"/>
              </w:rPr>
            </w:pPr>
          </w:p>
        </w:tc>
        <w:tc>
          <w:tcPr>
            <w:tcW w:w="1134" w:type="dxa"/>
            <w:vAlign w:val="center"/>
          </w:tcPr>
          <w:p w14:paraId="4C67F8F7">
            <w:pPr>
              <w:rPr>
                <w:rFonts w:ascii="宋体" w:hAnsi="宋体" w:cs="宋体"/>
                <w:szCs w:val="21"/>
                <w:highlight w:val="none"/>
              </w:rPr>
            </w:pPr>
          </w:p>
        </w:tc>
        <w:tc>
          <w:tcPr>
            <w:tcW w:w="1267" w:type="dxa"/>
            <w:vAlign w:val="center"/>
          </w:tcPr>
          <w:p w14:paraId="6E37D353">
            <w:pPr>
              <w:rPr>
                <w:rFonts w:ascii="宋体" w:hAnsi="宋体" w:cs="宋体"/>
                <w:szCs w:val="21"/>
                <w:highlight w:val="none"/>
              </w:rPr>
            </w:pPr>
          </w:p>
        </w:tc>
        <w:tc>
          <w:tcPr>
            <w:tcW w:w="1193" w:type="dxa"/>
            <w:vAlign w:val="center"/>
          </w:tcPr>
          <w:p w14:paraId="3153DA71">
            <w:pPr>
              <w:rPr>
                <w:rFonts w:ascii="宋体" w:hAnsi="宋体" w:cs="宋体"/>
                <w:szCs w:val="21"/>
                <w:highlight w:val="none"/>
              </w:rPr>
            </w:pPr>
          </w:p>
        </w:tc>
      </w:tr>
      <w:tr w14:paraId="3643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vAlign w:val="center"/>
          </w:tcPr>
          <w:p w14:paraId="3459581F">
            <w:pPr>
              <w:rPr>
                <w:rFonts w:ascii="宋体" w:hAnsi="宋体" w:cs="宋体"/>
                <w:szCs w:val="21"/>
                <w:highlight w:val="none"/>
              </w:rPr>
            </w:pPr>
          </w:p>
        </w:tc>
        <w:tc>
          <w:tcPr>
            <w:tcW w:w="709" w:type="dxa"/>
            <w:vAlign w:val="center"/>
          </w:tcPr>
          <w:p w14:paraId="6DAA6220">
            <w:pPr>
              <w:rPr>
                <w:rFonts w:ascii="宋体" w:hAnsi="宋体" w:cs="宋体"/>
                <w:szCs w:val="21"/>
                <w:highlight w:val="none"/>
              </w:rPr>
            </w:pPr>
          </w:p>
        </w:tc>
        <w:tc>
          <w:tcPr>
            <w:tcW w:w="709" w:type="dxa"/>
            <w:vAlign w:val="center"/>
          </w:tcPr>
          <w:p w14:paraId="6ADBE2E5">
            <w:pPr>
              <w:rPr>
                <w:rFonts w:ascii="宋体" w:hAnsi="宋体" w:cs="宋体"/>
                <w:szCs w:val="21"/>
                <w:highlight w:val="none"/>
              </w:rPr>
            </w:pPr>
          </w:p>
        </w:tc>
        <w:tc>
          <w:tcPr>
            <w:tcW w:w="709" w:type="dxa"/>
            <w:vAlign w:val="center"/>
          </w:tcPr>
          <w:p w14:paraId="30F5FBE7">
            <w:pPr>
              <w:rPr>
                <w:rFonts w:ascii="宋体" w:hAnsi="宋体" w:cs="宋体"/>
                <w:szCs w:val="21"/>
                <w:highlight w:val="none"/>
              </w:rPr>
            </w:pPr>
          </w:p>
        </w:tc>
        <w:tc>
          <w:tcPr>
            <w:tcW w:w="992" w:type="dxa"/>
            <w:vAlign w:val="center"/>
          </w:tcPr>
          <w:p w14:paraId="32547A93">
            <w:pPr>
              <w:rPr>
                <w:rFonts w:ascii="宋体" w:hAnsi="宋体" w:cs="宋体"/>
                <w:szCs w:val="21"/>
                <w:highlight w:val="none"/>
              </w:rPr>
            </w:pPr>
          </w:p>
        </w:tc>
        <w:tc>
          <w:tcPr>
            <w:tcW w:w="1134" w:type="dxa"/>
            <w:vAlign w:val="center"/>
          </w:tcPr>
          <w:p w14:paraId="6DA02263">
            <w:pPr>
              <w:rPr>
                <w:rFonts w:ascii="宋体" w:hAnsi="宋体" w:cs="宋体"/>
                <w:szCs w:val="21"/>
                <w:highlight w:val="none"/>
              </w:rPr>
            </w:pPr>
          </w:p>
        </w:tc>
        <w:tc>
          <w:tcPr>
            <w:tcW w:w="1134" w:type="dxa"/>
            <w:vAlign w:val="center"/>
          </w:tcPr>
          <w:p w14:paraId="0597F2B7">
            <w:pPr>
              <w:rPr>
                <w:rFonts w:ascii="宋体" w:hAnsi="宋体" w:cs="宋体"/>
                <w:szCs w:val="21"/>
                <w:highlight w:val="none"/>
              </w:rPr>
            </w:pPr>
          </w:p>
        </w:tc>
        <w:tc>
          <w:tcPr>
            <w:tcW w:w="1267" w:type="dxa"/>
            <w:vAlign w:val="center"/>
          </w:tcPr>
          <w:p w14:paraId="45A99603">
            <w:pPr>
              <w:rPr>
                <w:rFonts w:ascii="宋体" w:hAnsi="宋体" w:cs="宋体"/>
                <w:szCs w:val="21"/>
                <w:highlight w:val="none"/>
              </w:rPr>
            </w:pPr>
          </w:p>
        </w:tc>
        <w:tc>
          <w:tcPr>
            <w:tcW w:w="1193" w:type="dxa"/>
            <w:vAlign w:val="center"/>
          </w:tcPr>
          <w:p w14:paraId="5E117A61">
            <w:pPr>
              <w:rPr>
                <w:rFonts w:ascii="宋体" w:hAnsi="宋体" w:cs="宋体"/>
                <w:szCs w:val="21"/>
                <w:highlight w:val="none"/>
              </w:rPr>
            </w:pPr>
          </w:p>
        </w:tc>
      </w:tr>
      <w:tr w14:paraId="1245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vAlign w:val="center"/>
          </w:tcPr>
          <w:p w14:paraId="1FA187A6">
            <w:pPr>
              <w:rPr>
                <w:rFonts w:ascii="宋体" w:hAnsi="宋体" w:cs="宋体"/>
                <w:szCs w:val="21"/>
                <w:highlight w:val="none"/>
              </w:rPr>
            </w:pPr>
          </w:p>
        </w:tc>
        <w:tc>
          <w:tcPr>
            <w:tcW w:w="709" w:type="dxa"/>
            <w:vAlign w:val="center"/>
          </w:tcPr>
          <w:p w14:paraId="40F616E3">
            <w:pPr>
              <w:rPr>
                <w:rFonts w:ascii="宋体" w:hAnsi="宋体" w:cs="宋体"/>
                <w:szCs w:val="21"/>
                <w:highlight w:val="none"/>
              </w:rPr>
            </w:pPr>
          </w:p>
        </w:tc>
        <w:tc>
          <w:tcPr>
            <w:tcW w:w="709" w:type="dxa"/>
            <w:vAlign w:val="center"/>
          </w:tcPr>
          <w:p w14:paraId="74DD741C">
            <w:pPr>
              <w:rPr>
                <w:rFonts w:ascii="宋体" w:hAnsi="宋体" w:cs="宋体"/>
                <w:szCs w:val="21"/>
                <w:highlight w:val="none"/>
              </w:rPr>
            </w:pPr>
          </w:p>
        </w:tc>
        <w:tc>
          <w:tcPr>
            <w:tcW w:w="709" w:type="dxa"/>
            <w:vAlign w:val="center"/>
          </w:tcPr>
          <w:p w14:paraId="3CE4B35B">
            <w:pPr>
              <w:rPr>
                <w:rFonts w:ascii="宋体" w:hAnsi="宋体" w:cs="宋体"/>
                <w:szCs w:val="21"/>
                <w:highlight w:val="none"/>
              </w:rPr>
            </w:pPr>
          </w:p>
        </w:tc>
        <w:tc>
          <w:tcPr>
            <w:tcW w:w="992" w:type="dxa"/>
            <w:vAlign w:val="center"/>
          </w:tcPr>
          <w:p w14:paraId="23F74107">
            <w:pPr>
              <w:rPr>
                <w:rFonts w:ascii="宋体" w:hAnsi="宋体" w:cs="宋体"/>
                <w:szCs w:val="21"/>
                <w:highlight w:val="none"/>
              </w:rPr>
            </w:pPr>
          </w:p>
        </w:tc>
        <w:tc>
          <w:tcPr>
            <w:tcW w:w="1134" w:type="dxa"/>
            <w:vAlign w:val="center"/>
          </w:tcPr>
          <w:p w14:paraId="43359091">
            <w:pPr>
              <w:rPr>
                <w:rFonts w:ascii="宋体" w:hAnsi="宋体" w:cs="宋体"/>
                <w:szCs w:val="21"/>
                <w:highlight w:val="none"/>
              </w:rPr>
            </w:pPr>
          </w:p>
        </w:tc>
        <w:tc>
          <w:tcPr>
            <w:tcW w:w="1134" w:type="dxa"/>
            <w:vAlign w:val="center"/>
          </w:tcPr>
          <w:p w14:paraId="45A8B246">
            <w:pPr>
              <w:rPr>
                <w:rFonts w:ascii="宋体" w:hAnsi="宋体" w:cs="宋体"/>
                <w:szCs w:val="21"/>
                <w:highlight w:val="none"/>
              </w:rPr>
            </w:pPr>
          </w:p>
        </w:tc>
        <w:tc>
          <w:tcPr>
            <w:tcW w:w="1267" w:type="dxa"/>
            <w:vAlign w:val="center"/>
          </w:tcPr>
          <w:p w14:paraId="1164B1FA">
            <w:pPr>
              <w:rPr>
                <w:rFonts w:ascii="宋体" w:hAnsi="宋体" w:cs="宋体"/>
                <w:szCs w:val="21"/>
                <w:highlight w:val="none"/>
              </w:rPr>
            </w:pPr>
          </w:p>
        </w:tc>
        <w:tc>
          <w:tcPr>
            <w:tcW w:w="1193" w:type="dxa"/>
            <w:vAlign w:val="center"/>
          </w:tcPr>
          <w:p w14:paraId="3BE6CCD0">
            <w:pPr>
              <w:rPr>
                <w:rFonts w:ascii="宋体" w:hAnsi="宋体" w:cs="宋体"/>
                <w:szCs w:val="21"/>
                <w:highlight w:val="none"/>
              </w:rPr>
            </w:pPr>
          </w:p>
        </w:tc>
      </w:tr>
      <w:tr w14:paraId="2FDE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vAlign w:val="center"/>
          </w:tcPr>
          <w:p w14:paraId="34C08CA9">
            <w:pPr>
              <w:rPr>
                <w:rFonts w:ascii="宋体" w:hAnsi="宋体" w:cs="宋体"/>
                <w:szCs w:val="21"/>
                <w:highlight w:val="none"/>
              </w:rPr>
            </w:pPr>
          </w:p>
        </w:tc>
        <w:tc>
          <w:tcPr>
            <w:tcW w:w="709" w:type="dxa"/>
            <w:vAlign w:val="center"/>
          </w:tcPr>
          <w:p w14:paraId="60EB08FA">
            <w:pPr>
              <w:rPr>
                <w:rFonts w:ascii="宋体" w:hAnsi="宋体" w:cs="宋体"/>
                <w:szCs w:val="21"/>
                <w:highlight w:val="none"/>
              </w:rPr>
            </w:pPr>
          </w:p>
        </w:tc>
        <w:tc>
          <w:tcPr>
            <w:tcW w:w="709" w:type="dxa"/>
            <w:vAlign w:val="center"/>
          </w:tcPr>
          <w:p w14:paraId="01DBAD9C">
            <w:pPr>
              <w:rPr>
                <w:rFonts w:ascii="宋体" w:hAnsi="宋体" w:cs="宋体"/>
                <w:szCs w:val="21"/>
                <w:highlight w:val="none"/>
              </w:rPr>
            </w:pPr>
          </w:p>
        </w:tc>
        <w:tc>
          <w:tcPr>
            <w:tcW w:w="709" w:type="dxa"/>
            <w:vAlign w:val="center"/>
          </w:tcPr>
          <w:p w14:paraId="1359110F">
            <w:pPr>
              <w:rPr>
                <w:rFonts w:ascii="宋体" w:hAnsi="宋体" w:cs="宋体"/>
                <w:szCs w:val="21"/>
                <w:highlight w:val="none"/>
              </w:rPr>
            </w:pPr>
          </w:p>
        </w:tc>
        <w:tc>
          <w:tcPr>
            <w:tcW w:w="992" w:type="dxa"/>
            <w:vAlign w:val="center"/>
          </w:tcPr>
          <w:p w14:paraId="5FC1C5CD">
            <w:pPr>
              <w:rPr>
                <w:rFonts w:ascii="宋体" w:hAnsi="宋体" w:cs="宋体"/>
                <w:szCs w:val="21"/>
                <w:highlight w:val="none"/>
              </w:rPr>
            </w:pPr>
          </w:p>
        </w:tc>
        <w:tc>
          <w:tcPr>
            <w:tcW w:w="1134" w:type="dxa"/>
            <w:vAlign w:val="center"/>
          </w:tcPr>
          <w:p w14:paraId="783C8C22">
            <w:pPr>
              <w:rPr>
                <w:rFonts w:ascii="宋体" w:hAnsi="宋体" w:cs="宋体"/>
                <w:szCs w:val="21"/>
                <w:highlight w:val="none"/>
              </w:rPr>
            </w:pPr>
          </w:p>
        </w:tc>
        <w:tc>
          <w:tcPr>
            <w:tcW w:w="1134" w:type="dxa"/>
            <w:vAlign w:val="center"/>
          </w:tcPr>
          <w:p w14:paraId="7A161F4E">
            <w:pPr>
              <w:rPr>
                <w:rFonts w:ascii="宋体" w:hAnsi="宋体" w:cs="宋体"/>
                <w:szCs w:val="21"/>
                <w:highlight w:val="none"/>
              </w:rPr>
            </w:pPr>
          </w:p>
        </w:tc>
        <w:tc>
          <w:tcPr>
            <w:tcW w:w="1267" w:type="dxa"/>
            <w:vAlign w:val="center"/>
          </w:tcPr>
          <w:p w14:paraId="0A6ECBEB">
            <w:pPr>
              <w:rPr>
                <w:rFonts w:ascii="宋体" w:hAnsi="宋体" w:cs="宋体"/>
                <w:szCs w:val="21"/>
                <w:highlight w:val="none"/>
              </w:rPr>
            </w:pPr>
          </w:p>
        </w:tc>
        <w:tc>
          <w:tcPr>
            <w:tcW w:w="1193" w:type="dxa"/>
            <w:vAlign w:val="center"/>
          </w:tcPr>
          <w:p w14:paraId="5E98E482">
            <w:pPr>
              <w:rPr>
                <w:rFonts w:ascii="宋体" w:hAnsi="宋体" w:cs="宋体"/>
                <w:szCs w:val="21"/>
                <w:highlight w:val="none"/>
              </w:rPr>
            </w:pPr>
          </w:p>
        </w:tc>
      </w:tr>
    </w:tbl>
    <w:p w14:paraId="7F9EED91">
      <w:pPr>
        <w:adjustRightInd w:val="0"/>
        <w:snapToGrid w:val="0"/>
        <w:spacing w:line="400" w:lineRule="exact"/>
        <w:rPr>
          <w:rFonts w:ascii="宋体" w:hAnsi="宋体"/>
          <w:snapToGrid w:val="0"/>
          <w:kern w:val="21"/>
          <w:szCs w:val="21"/>
          <w:highlight w:val="none"/>
          <w:lang w:val="zh-CN"/>
        </w:rPr>
      </w:pPr>
      <w:r>
        <w:rPr>
          <w:rFonts w:hint="eastAsia" w:ascii="宋体" w:hAnsi="宋体"/>
          <w:snapToGrid w:val="0"/>
          <w:kern w:val="21"/>
          <w:szCs w:val="21"/>
          <w:highlight w:val="none"/>
          <w:lang w:val="zh-CN"/>
        </w:rPr>
        <w:t>注：1.应提供本表涉及的主要人员相关证明材料，如职称证明、资格证书等;</w:t>
      </w:r>
    </w:p>
    <w:p w14:paraId="08AD74BB">
      <w:pPr>
        <w:adjustRightInd w:val="0"/>
        <w:snapToGrid w:val="0"/>
        <w:spacing w:line="400" w:lineRule="exact"/>
        <w:rPr>
          <w:rFonts w:ascii="宋体" w:hAnsi="宋体"/>
          <w:snapToGrid w:val="0"/>
          <w:kern w:val="21"/>
          <w:szCs w:val="21"/>
          <w:highlight w:val="none"/>
          <w:lang w:val="zh-CN"/>
        </w:rPr>
      </w:pPr>
      <w:r>
        <w:rPr>
          <w:rFonts w:hint="eastAsia" w:ascii="宋体" w:hAnsi="宋体"/>
          <w:snapToGrid w:val="0"/>
          <w:kern w:val="21"/>
          <w:szCs w:val="21"/>
          <w:highlight w:val="none"/>
          <w:lang w:val="zh-CN"/>
        </w:rPr>
        <w:t>2.“层级”处填写项目负责人或其他主要人员。</w:t>
      </w:r>
    </w:p>
    <w:p w14:paraId="4A2C9036">
      <w:pPr>
        <w:adjustRightInd w:val="0"/>
        <w:snapToGrid w:val="0"/>
        <w:spacing w:line="400" w:lineRule="exact"/>
        <w:ind w:firstLine="480" w:firstLineChars="200"/>
        <w:rPr>
          <w:rFonts w:ascii="宋体" w:hAnsi="宋体"/>
          <w:snapToGrid w:val="0"/>
          <w:kern w:val="21"/>
          <w:szCs w:val="21"/>
          <w:highlight w:val="none"/>
          <w:lang w:val="zh-CN"/>
        </w:rPr>
      </w:pPr>
    </w:p>
    <w:p w14:paraId="3E288C53">
      <w:pPr>
        <w:spacing w:line="360" w:lineRule="auto"/>
        <w:ind w:firstLine="422"/>
        <w:jc w:val="center"/>
        <w:rPr>
          <w:rFonts w:ascii="Arial" w:hAnsi="Arial" w:cs="Arial"/>
          <w:b/>
          <w:highlight w:val="none"/>
        </w:rPr>
      </w:pPr>
      <w:bookmarkStart w:id="148" w:name="_Toc23530"/>
      <w:bookmarkStart w:id="149" w:name="_Toc9614"/>
      <w:r>
        <w:rPr>
          <w:rFonts w:hint="eastAsia" w:ascii="Arial" w:hAnsi="Arial" w:cs="Arial"/>
          <w:b/>
          <w:highlight w:val="none"/>
        </w:rPr>
        <w:t>表</w:t>
      </w:r>
      <w:r>
        <w:rPr>
          <w:rFonts w:ascii="Arial" w:hAnsi="Arial" w:cs="Arial"/>
          <w:b/>
          <w:highlight w:val="none"/>
        </w:rPr>
        <w:t>2</w:t>
      </w:r>
      <w:r>
        <w:rPr>
          <w:rFonts w:hint="eastAsia" w:ascii="Arial" w:hAnsi="Arial" w:cs="Arial"/>
          <w:b/>
          <w:highlight w:val="none"/>
        </w:rPr>
        <w:t>主要人员简历表</w:t>
      </w:r>
      <w:bookmarkEnd w:id="148"/>
      <w:bookmarkEnd w:id="149"/>
    </w:p>
    <w:tbl>
      <w:tblPr>
        <w:tblStyle w:val="16"/>
        <w:tblW w:w="8326" w:type="dxa"/>
        <w:jc w:val="center"/>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Layout w:type="fixed"/>
        <w:tblCellMar>
          <w:top w:w="0" w:type="dxa"/>
          <w:left w:w="108" w:type="dxa"/>
          <w:bottom w:w="0" w:type="dxa"/>
          <w:right w:w="108" w:type="dxa"/>
        </w:tblCellMar>
      </w:tblPr>
      <w:tblGrid>
        <w:gridCol w:w="1487"/>
        <w:gridCol w:w="1490"/>
        <w:gridCol w:w="268"/>
        <w:gridCol w:w="1301"/>
        <w:gridCol w:w="318"/>
        <w:gridCol w:w="801"/>
        <w:gridCol w:w="1114"/>
        <w:gridCol w:w="313"/>
        <w:gridCol w:w="1234"/>
      </w:tblGrid>
      <w:tr w14:paraId="0EE1685F">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2977" w:type="dxa"/>
            <w:gridSpan w:val="2"/>
            <w:tcMar>
              <w:top w:w="57" w:type="dxa"/>
              <w:left w:w="0" w:type="dxa"/>
              <w:bottom w:w="57" w:type="dxa"/>
              <w:right w:w="0" w:type="dxa"/>
            </w:tcMar>
            <w:vAlign w:val="center"/>
          </w:tcPr>
          <w:p w14:paraId="1844D64B">
            <w:pPr>
              <w:pStyle w:val="31"/>
              <w:ind w:left="53" w:right="53"/>
              <w:rPr>
                <w:rFonts w:ascii="宋体" w:hAnsi="宋体"/>
                <w:kern w:val="21"/>
                <w:sz w:val="21"/>
                <w:szCs w:val="21"/>
                <w:highlight w:val="none"/>
              </w:rPr>
            </w:pPr>
            <w:r>
              <w:rPr>
                <w:rFonts w:hint="eastAsia" w:ascii="宋体" w:hAnsi="宋体"/>
                <w:kern w:val="21"/>
                <w:sz w:val="21"/>
                <w:szCs w:val="21"/>
                <w:highlight w:val="none"/>
              </w:rPr>
              <w:t>层级</w:t>
            </w:r>
          </w:p>
        </w:tc>
        <w:tc>
          <w:tcPr>
            <w:tcW w:w="5349" w:type="dxa"/>
            <w:gridSpan w:val="7"/>
            <w:tcMar>
              <w:top w:w="57" w:type="dxa"/>
              <w:left w:w="0" w:type="dxa"/>
              <w:bottom w:w="57" w:type="dxa"/>
              <w:right w:w="0" w:type="dxa"/>
            </w:tcMar>
            <w:vAlign w:val="center"/>
          </w:tcPr>
          <w:p w14:paraId="0FF13FD7">
            <w:pPr>
              <w:pStyle w:val="31"/>
              <w:ind w:left="53" w:right="53"/>
              <w:rPr>
                <w:rFonts w:ascii="宋体" w:hAnsi="宋体"/>
                <w:kern w:val="21"/>
                <w:sz w:val="21"/>
                <w:szCs w:val="21"/>
                <w:highlight w:val="none"/>
              </w:rPr>
            </w:pPr>
          </w:p>
        </w:tc>
      </w:tr>
      <w:tr w14:paraId="79810134">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158111B6">
            <w:pPr>
              <w:pStyle w:val="31"/>
              <w:ind w:left="53" w:right="53"/>
              <w:rPr>
                <w:rFonts w:ascii="宋体" w:hAnsi="宋体"/>
                <w:kern w:val="21"/>
                <w:sz w:val="21"/>
                <w:szCs w:val="21"/>
                <w:highlight w:val="none"/>
              </w:rPr>
            </w:pPr>
            <w:r>
              <w:rPr>
                <w:rFonts w:ascii="宋体" w:hAnsi="宋体"/>
                <w:kern w:val="21"/>
                <w:sz w:val="21"/>
                <w:szCs w:val="21"/>
                <w:highlight w:val="none"/>
              </w:rPr>
              <w:t>姓名</w:t>
            </w:r>
          </w:p>
        </w:tc>
        <w:tc>
          <w:tcPr>
            <w:tcW w:w="1490" w:type="dxa"/>
            <w:tcMar>
              <w:top w:w="57" w:type="dxa"/>
              <w:left w:w="0" w:type="dxa"/>
              <w:bottom w:w="57" w:type="dxa"/>
              <w:right w:w="0" w:type="dxa"/>
            </w:tcMar>
            <w:vAlign w:val="center"/>
          </w:tcPr>
          <w:p w14:paraId="0D123B79">
            <w:pPr>
              <w:pStyle w:val="31"/>
              <w:ind w:left="53" w:right="53"/>
              <w:rPr>
                <w:rFonts w:ascii="宋体" w:hAnsi="宋体"/>
                <w:kern w:val="21"/>
                <w:sz w:val="21"/>
                <w:szCs w:val="21"/>
                <w:highlight w:val="none"/>
              </w:rPr>
            </w:pPr>
          </w:p>
        </w:tc>
        <w:tc>
          <w:tcPr>
            <w:tcW w:w="1569" w:type="dxa"/>
            <w:gridSpan w:val="2"/>
            <w:tcMar>
              <w:top w:w="57" w:type="dxa"/>
              <w:left w:w="0" w:type="dxa"/>
              <w:bottom w:w="57" w:type="dxa"/>
              <w:right w:w="0" w:type="dxa"/>
            </w:tcMar>
            <w:vAlign w:val="center"/>
          </w:tcPr>
          <w:p w14:paraId="09F8254D">
            <w:pPr>
              <w:pStyle w:val="31"/>
              <w:ind w:left="53" w:right="53"/>
              <w:rPr>
                <w:rFonts w:ascii="宋体" w:hAnsi="宋体"/>
                <w:kern w:val="21"/>
                <w:sz w:val="21"/>
                <w:szCs w:val="21"/>
                <w:highlight w:val="none"/>
              </w:rPr>
            </w:pPr>
            <w:r>
              <w:rPr>
                <w:rFonts w:ascii="宋体" w:hAnsi="宋体"/>
                <w:kern w:val="21"/>
                <w:sz w:val="21"/>
                <w:szCs w:val="21"/>
                <w:highlight w:val="none"/>
              </w:rPr>
              <w:t>性别</w:t>
            </w:r>
          </w:p>
        </w:tc>
        <w:tc>
          <w:tcPr>
            <w:tcW w:w="1119" w:type="dxa"/>
            <w:gridSpan w:val="2"/>
            <w:tcMar>
              <w:top w:w="57" w:type="dxa"/>
              <w:left w:w="0" w:type="dxa"/>
              <w:bottom w:w="57" w:type="dxa"/>
              <w:right w:w="0" w:type="dxa"/>
            </w:tcMar>
            <w:vAlign w:val="center"/>
          </w:tcPr>
          <w:p w14:paraId="336662E9">
            <w:pPr>
              <w:pStyle w:val="31"/>
              <w:ind w:left="53" w:right="53"/>
              <w:rPr>
                <w:rFonts w:ascii="宋体" w:hAnsi="宋体"/>
                <w:kern w:val="21"/>
                <w:sz w:val="21"/>
                <w:szCs w:val="21"/>
                <w:highlight w:val="none"/>
              </w:rPr>
            </w:pPr>
          </w:p>
        </w:tc>
        <w:tc>
          <w:tcPr>
            <w:tcW w:w="1427" w:type="dxa"/>
            <w:gridSpan w:val="2"/>
            <w:tcMar>
              <w:top w:w="57" w:type="dxa"/>
              <w:left w:w="0" w:type="dxa"/>
              <w:bottom w:w="57" w:type="dxa"/>
              <w:right w:w="0" w:type="dxa"/>
            </w:tcMar>
            <w:vAlign w:val="center"/>
          </w:tcPr>
          <w:p w14:paraId="1BEFEEA8">
            <w:pPr>
              <w:pStyle w:val="31"/>
              <w:ind w:left="53" w:right="53"/>
              <w:rPr>
                <w:rFonts w:ascii="宋体" w:hAnsi="宋体"/>
                <w:kern w:val="21"/>
                <w:sz w:val="21"/>
                <w:szCs w:val="21"/>
                <w:highlight w:val="none"/>
              </w:rPr>
            </w:pPr>
            <w:r>
              <w:rPr>
                <w:rFonts w:ascii="宋体" w:hAnsi="宋体"/>
                <w:kern w:val="21"/>
                <w:sz w:val="21"/>
                <w:szCs w:val="21"/>
                <w:highlight w:val="none"/>
              </w:rPr>
              <w:t>年龄</w:t>
            </w:r>
          </w:p>
        </w:tc>
        <w:tc>
          <w:tcPr>
            <w:tcW w:w="1234" w:type="dxa"/>
            <w:tcMar>
              <w:top w:w="57" w:type="dxa"/>
              <w:left w:w="0" w:type="dxa"/>
              <w:bottom w:w="57" w:type="dxa"/>
              <w:right w:w="0" w:type="dxa"/>
            </w:tcMar>
            <w:vAlign w:val="center"/>
          </w:tcPr>
          <w:p w14:paraId="1CCFCB9B">
            <w:pPr>
              <w:pStyle w:val="31"/>
              <w:ind w:left="53" w:right="53"/>
              <w:rPr>
                <w:rFonts w:ascii="宋体" w:hAnsi="宋体"/>
                <w:kern w:val="21"/>
                <w:sz w:val="21"/>
                <w:szCs w:val="21"/>
                <w:highlight w:val="none"/>
              </w:rPr>
            </w:pPr>
          </w:p>
        </w:tc>
      </w:tr>
      <w:tr w14:paraId="440179C6">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1D68378E">
            <w:pPr>
              <w:pStyle w:val="31"/>
              <w:ind w:left="53" w:right="53"/>
              <w:rPr>
                <w:rFonts w:ascii="宋体" w:hAnsi="宋体"/>
                <w:kern w:val="21"/>
                <w:sz w:val="21"/>
                <w:szCs w:val="21"/>
                <w:highlight w:val="none"/>
              </w:rPr>
            </w:pPr>
            <w:r>
              <w:rPr>
                <w:rFonts w:ascii="宋体" w:hAnsi="宋体"/>
                <w:kern w:val="21"/>
                <w:sz w:val="21"/>
                <w:szCs w:val="21"/>
                <w:highlight w:val="none"/>
              </w:rPr>
              <w:t>学历</w:t>
            </w:r>
          </w:p>
        </w:tc>
        <w:tc>
          <w:tcPr>
            <w:tcW w:w="1490" w:type="dxa"/>
            <w:tcMar>
              <w:top w:w="57" w:type="dxa"/>
              <w:left w:w="0" w:type="dxa"/>
              <w:bottom w:w="57" w:type="dxa"/>
              <w:right w:w="0" w:type="dxa"/>
            </w:tcMar>
            <w:vAlign w:val="center"/>
          </w:tcPr>
          <w:p w14:paraId="03B3E22B">
            <w:pPr>
              <w:pStyle w:val="31"/>
              <w:ind w:left="53" w:right="53"/>
              <w:rPr>
                <w:rFonts w:ascii="宋体" w:hAnsi="宋体"/>
                <w:kern w:val="21"/>
                <w:sz w:val="21"/>
                <w:szCs w:val="21"/>
                <w:highlight w:val="none"/>
              </w:rPr>
            </w:pPr>
          </w:p>
        </w:tc>
        <w:tc>
          <w:tcPr>
            <w:tcW w:w="1569" w:type="dxa"/>
            <w:gridSpan w:val="2"/>
            <w:tcMar>
              <w:top w:w="57" w:type="dxa"/>
              <w:left w:w="0" w:type="dxa"/>
              <w:bottom w:w="57" w:type="dxa"/>
              <w:right w:w="0" w:type="dxa"/>
            </w:tcMar>
            <w:vAlign w:val="center"/>
          </w:tcPr>
          <w:p w14:paraId="51DB6C33">
            <w:pPr>
              <w:pStyle w:val="31"/>
              <w:ind w:left="53" w:right="53"/>
              <w:rPr>
                <w:rFonts w:ascii="宋体" w:hAnsi="宋体"/>
                <w:kern w:val="21"/>
                <w:sz w:val="21"/>
                <w:szCs w:val="21"/>
                <w:highlight w:val="none"/>
              </w:rPr>
            </w:pPr>
            <w:r>
              <w:rPr>
                <w:rFonts w:ascii="宋体" w:hAnsi="宋体"/>
                <w:kern w:val="21"/>
                <w:sz w:val="21"/>
                <w:szCs w:val="21"/>
                <w:highlight w:val="none"/>
              </w:rPr>
              <w:t>参加工作时间</w:t>
            </w:r>
          </w:p>
        </w:tc>
        <w:tc>
          <w:tcPr>
            <w:tcW w:w="1119" w:type="dxa"/>
            <w:gridSpan w:val="2"/>
            <w:tcMar>
              <w:top w:w="57" w:type="dxa"/>
              <w:left w:w="0" w:type="dxa"/>
              <w:bottom w:w="57" w:type="dxa"/>
              <w:right w:w="0" w:type="dxa"/>
            </w:tcMar>
            <w:vAlign w:val="center"/>
          </w:tcPr>
          <w:p w14:paraId="26BB7307">
            <w:pPr>
              <w:pStyle w:val="31"/>
              <w:ind w:left="53" w:right="53"/>
              <w:rPr>
                <w:rFonts w:ascii="宋体" w:hAnsi="宋体"/>
                <w:kern w:val="21"/>
                <w:sz w:val="21"/>
                <w:szCs w:val="21"/>
                <w:highlight w:val="none"/>
              </w:rPr>
            </w:pPr>
          </w:p>
        </w:tc>
        <w:tc>
          <w:tcPr>
            <w:tcW w:w="1427" w:type="dxa"/>
            <w:gridSpan w:val="2"/>
            <w:tcMar>
              <w:top w:w="57" w:type="dxa"/>
              <w:left w:w="0" w:type="dxa"/>
              <w:bottom w:w="57" w:type="dxa"/>
              <w:right w:w="0" w:type="dxa"/>
            </w:tcMar>
            <w:vAlign w:val="center"/>
          </w:tcPr>
          <w:p w14:paraId="431E426B">
            <w:pPr>
              <w:pStyle w:val="31"/>
              <w:ind w:left="53" w:right="53"/>
              <w:rPr>
                <w:rFonts w:ascii="宋体" w:hAnsi="宋体"/>
                <w:kern w:val="21"/>
                <w:sz w:val="21"/>
                <w:szCs w:val="21"/>
                <w:highlight w:val="none"/>
              </w:rPr>
            </w:pPr>
            <w:r>
              <w:rPr>
                <w:rFonts w:ascii="宋体" w:hAnsi="宋体"/>
                <w:kern w:val="21"/>
                <w:sz w:val="21"/>
                <w:szCs w:val="21"/>
                <w:highlight w:val="none"/>
              </w:rPr>
              <w:t>工作年限</w:t>
            </w:r>
          </w:p>
        </w:tc>
        <w:tc>
          <w:tcPr>
            <w:tcW w:w="1234" w:type="dxa"/>
            <w:tcMar>
              <w:top w:w="57" w:type="dxa"/>
              <w:left w:w="0" w:type="dxa"/>
              <w:bottom w:w="57" w:type="dxa"/>
              <w:right w:w="0" w:type="dxa"/>
            </w:tcMar>
            <w:vAlign w:val="center"/>
          </w:tcPr>
          <w:p w14:paraId="6BB71E7E">
            <w:pPr>
              <w:pStyle w:val="31"/>
              <w:ind w:left="53" w:right="53"/>
              <w:rPr>
                <w:rFonts w:ascii="宋体" w:hAnsi="宋体"/>
                <w:kern w:val="21"/>
                <w:sz w:val="21"/>
                <w:szCs w:val="21"/>
                <w:highlight w:val="none"/>
              </w:rPr>
            </w:pPr>
          </w:p>
        </w:tc>
      </w:tr>
      <w:tr w14:paraId="1CE36052">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8326" w:type="dxa"/>
            <w:gridSpan w:val="9"/>
            <w:tcMar>
              <w:top w:w="57" w:type="dxa"/>
              <w:left w:w="0" w:type="dxa"/>
              <w:bottom w:w="57" w:type="dxa"/>
              <w:right w:w="0" w:type="dxa"/>
            </w:tcMar>
            <w:vAlign w:val="center"/>
          </w:tcPr>
          <w:p w14:paraId="63DF4B35">
            <w:pPr>
              <w:pStyle w:val="31"/>
              <w:ind w:left="53" w:right="53"/>
              <w:rPr>
                <w:rFonts w:ascii="宋体" w:hAnsi="宋体"/>
                <w:kern w:val="21"/>
                <w:sz w:val="21"/>
                <w:szCs w:val="21"/>
                <w:highlight w:val="none"/>
              </w:rPr>
            </w:pPr>
            <w:r>
              <w:rPr>
                <w:rFonts w:ascii="宋体" w:hAnsi="宋体"/>
                <w:kern w:val="21"/>
                <w:sz w:val="21"/>
                <w:szCs w:val="21"/>
                <w:highlight w:val="none"/>
              </w:rPr>
              <w:t>主要资历、经验及承担过的项目</w:t>
            </w:r>
          </w:p>
        </w:tc>
      </w:tr>
      <w:tr w14:paraId="0466D0CF">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33F89B07">
            <w:pPr>
              <w:pStyle w:val="31"/>
              <w:ind w:left="53" w:right="53"/>
              <w:rPr>
                <w:rFonts w:ascii="宋体" w:hAnsi="宋体"/>
                <w:kern w:val="21"/>
                <w:sz w:val="21"/>
                <w:szCs w:val="21"/>
                <w:highlight w:val="none"/>
              </w:rPr>
            </w:pPr>
            <w:r>
              <w:rPr>
                <w:rFonts w:ascii="宋体" w:hAnsi="宋体"/>
                <w:kern w:val="21"/>
                <w:sz w:val="21"/>
                <w:szCs w:val="21"/>
                <w:highlight w:val="none"/>
              </w:rPr>
              <w:t>项目名称</w:t>
            </w:r>
          </w:p>
        </w:tc>
        <w:tc>
          <w:tcPr>
            <w:tcW w:w="1758" w:type="dxa"/>
            <w:gridSpan w:val="2"/>
            <w:tcMar>
              <w:top w:w="57" w:type="dxa"/>
              <w:left w:w="0" w:type="dxa"/>
              <w:bottom w:w="57" w:type="dxa"/>
              <w:right w:w="0" w:type="dxa"/>
            </w:tcMar>
            <w:vAlign w:val="center"/>
          </w:tcPr>
          <w:p w14:paraId="00896653">
            <w:pPr>
              <w:pStyle w:val="31"/>
              <w:ind w:left="53" w:right="53"/>
              <w:rPr>
                <w:rFonts w:ascii="宋体" w:hAnsi="宋体"/>
                <w:kern w:val="21"/>
                <w:sz w:val="21"/>
                <w:szCs w:val="21"/>
                <w:highlight w:val="none"/>
              </w:rPr>
            </w:pPr>
            <w:r>
              <w:rPr>
                <w:rFonts w:ascii="宋体" w:hAnsi="宋体"/>
                <w:kern w:val="21"/>
                <w:sz w:val="21"/>
                <w:szCs w:val="21"/>
                <w:highlight w:val="none"/>
              </w:rPr>
              <w:t>建设规模</w:t>
            </w:r>
          </w:p>
        </w:tc>
        <w:tc>
          <w:tcPr>
            <w:tcW w:w="1619" w:type="dxa"/>
            <w:gridSpan w:val="2"/>
            <w:tcMar>
              <w:top w:w="57" w:type="dxa"/>
              <w:left w:w="0" w:type="dxa"/>
              <w:bottom w:w="57" w:type="dxa"/>
              <w:right w:w="0" w:type="dxa"/>
            </w:tcMar>
            <w:vAlign w:val="center"/>
          </w:tcPr>
          <w:p w14:paraId="126EE510">
            <w:pPr>
              <w:pStyle w:val="31"/>
              <w:ind w:left="53" w:right="53"/>
              <w:rPr>
                <w:rFonts w:ascii="宋体" w:hAnsi="宋体"/>
                <w:kern w:val="21"/>
                <w:sz w:val="21"/>
                <w:szCs w:val="21"/>
                <w:highlight w:val="none"/>
              </w:rPr>
            </w:pPr>
            <w:r>
              <w:rPr>
                <w:rFonts w:ascii="宋体" w:hAnsi="宋体"/>
                <w:kern w:val="21"/>
                <w:sz w:val="21"/>
                <w:szCs w:val="21"/>
                <w:highlight w:val="none"/>
              </w:rPr>
              <w:t>项目起止时间</w:t>
            </w:r>
          </w:p>
        </w:tc>
        <w:tc>
          <w:tcPr>
            <w:tcW w:w="1915" w:type="dxa"/>
            <w:gridSpan w:val="2"/>
            <w:tcMar>
              <w:top w:w="57" w:type="dxa"/>
              <w:left w:w="0" w:type="dxa"/>
              <w:bottom w:w="57" w:type="dxa"/>
              <w:right w:w="0" w:type="dxa"/>
            </w:tcMar>
            <w:vAlign w:val="center"/>
          </w:tcPr>
          <w:p w14:paraId="7BBBAC1D">
            <w:pPr>
              <w:pStyle w:val="31"/>
              <w:ind w:left="53" w:right="53"/>
              <w:rPr>
                <w:rFonts w:ascii="宋体" w:hAnsi="宋体"/>
                <w:kern w:val="21"/>
                <w:sz w:val="21"/>
                <w:szCs w:val="21"/>
                <w:highlight w:val="none"/>
              </w:rPr>
            </w:pPr>
            <w:r>
              <w:rPr>
                <w:rFonts w:ascii="宋体" w:hAnsi="宋体"/>
                <w:kern w:val="21"/>
                <w:sz w:val="21"/>
                <w:szCs w:val="21"/>
                <w:highlight w:val="none"/>
              </w:rPr>
              <w:t>担负的技术职务</w:t>
            </w:r>
          </w:p>
        </w:tc>
        <w:tc>
          <w:tcPr>
            <w:tcW w:w="1547" w:type="dxa"/>
            <w:gridSpan w:val="2"/>
            <w:tcMar>
              <w:top w:w="57" w:type="dxa"/>
              <w:left w:w="0" w:type="dxa"/>
              <w:bottom w:w="57" w:type="dxa"/>
              <w:right w:w="0" w:type="dxa"/>
            </w:tcMar>
            <w:vAlign w:val="center"/>
          </w:tcPr>
          <w:p w14:paraId="35DCE3F5">
            <w:pPr>
              <w:pStyle w:val="31"/>
              <w:ind w:left="53" w:right="53"/>
              <w:rPr>
                <w:rFonts w:ascii="宋体" w:hAnsi="宋体"/>
                <w:kern w:val="21"/>
                <w:sz w:val="21"/>
                <w:szCs w:val="21"/>
                <w:highlight w:val="none"/>
              </w:rPr>
            </w:pPr>
            <w:r>
              <w:rPr>
                <w:rFonts w:ascii="宋体" w:hAnsi="宋体"/>
                <w:kern w:val="21"/>
                <w:sz w:val="21"/>
                <w:szCs w:val="21"/>
                <w:highlight w:val="none"/>
              </w:rPr>
              <w:t>获奖情况</w:t>
            </w:r>
          </w:p>
        </w:tc>
      </w:tr>
      <w:tr w14:paraId="7E4ABF5B">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12EC54D6">
            <w:pPr>
              <w:pStyle w:val="31"/>
              <w:ind w:left="53" w:right="53"/>
              <w:rPr>
                <w:rFonts w:ascii="宋体" w:hAnsi="宋体"/>
                <w:kern w:val="21"/>
                <w:sz w:val="21"/>
                <w:szCs w:val="21"/>
                <w:highlight w:val="none"/>
              </w:rPr>
            </w:pPr>
          </w:p>
        </w:tc>
        <w:tc>
          <w:tcPr>
            <w:tcW w:w="1758" w:type="dxa"/>
            <w:gridSpan w:val="2"/>
            <w:tcMar>
              <w:top w:w="57" w:type="dxa"/>
              <w:left w:w="0" w:type="dxa"/>
              <w:bottom w:w="57" w:type="dxa"/>
              <w:right w:w="0" w:type="dxa"/>
            </w:tcMar>
            <w:vAlign w:val="center"/>
          </w:tcPr>
          <w:p w14:paraId="2AC04353">
            <w:pPr>
              <w:pStyle w:val="31"/>
              <w:ind w:left="53" w:right="53"/>
              <w:rPr>
                <w:rFonts w:ascii="宋体" w:hAnsi="宋体"/>
                <w:kern w:val="21"/>
                <w:sz w:val="21"/>
                <w:szCs w:val="21"/>
                <w:highlight w:val="none"/>
              </w:rPr>
            </w:pPr>
          </w:p>
        </w:tc>
        <w:tc>
          <w:tcPr>
            <w:tcW w:w="1619" w:type="dxa"/>
            <w:gridSpan w:val="2"/>
            <w:tcMar>
              <w:top w:w="57" w:type="dxa"/>
              <w:left w:w="0" w:type="dxa"/>
              <w:bottom w:w="57" w:type="dxa"/>
              <w:right w:w="0" w:type="dxa"/>
            </w:tcMar>
            <w:vAlign w:val="center"/>
          </w:tcPr>
          <w:p w14:paraId="73717765">
            <w:pPr>
              <w:pStyle w:val="31"/>
              <w:ind w:left="53" w:right="53"/>
              <w:rPr>
                <w:rFonts w:ascii="宋体" w:hAnsi="宋体"/>
                <w:kern w:val="21"/>
                <w:sz w:val="21"/>
                <w:szCs w:val="21"/>
                <w:highlight w:val="none"/>
              </w:rPr>
            </w:pPr>
          </w:p>
        </w:tc>
        <w:tc>
          <w:tcPr>
            <w:tcW w:w="1915" w:type="dxa"/>
            <w:gridSpan w:val="2"/>
            <w:tcMar>
              <w:top w:w="57" w:type="dxa"/>
              <w:left w:w="0" w:type="dxa"/>
              <w:bottom w:w="57" w:type="dxa"/>
              <w:right w:w="0" w:type="dxa"/>
            </w:tcMar>
            <w:vAlign w:val="center"/>
          </w:tcPr>
          <w:p w14:paraId="2EED0889">
            <w:pPr>
              <w:pStyle w:val="31"/>
              <w:ind w:left="53" w:right="53"/>
              <w:rPr>
                <w:rFonts w:ascii="宋体" w:hAnsi="宋体"/>
                <w:kern w:val="21"/>
                <w:sz w:val="21"/>
                <w:szCs w:val="21"/>
                <w:highlight w:val="none"/>
              </w:rPr>
            </w:pPr>
          </w:p>
        </w:tc>
        <w:tc>
          <w:tcPr>
            <w:tcW w:w="1547" w:type="dxa"/>
            <w:gridSpan w:val="2"/>
            <w:tcMar>
              <w:top w:w="57" w:type="dxa"/>
              <w:left w:w="0" w:type="dxa"/>
              <w:bottom w:w="57" w:type="dxa"/>
              <w:right w:w="0" w:type="dxa"/>
            </w:tcMar>
            <w:vAlign w:val="center"/>
          </w:tcPr>
          <w:p w14:paraId="32F28083">
            <w:pPr>
              <w:pStyle w:val="31"/>
              <w:ind w:left="53" w:right="53"/>
              <w:rPr>
                <w:rFonts w:ascii="宋体" w:hAnsi="宋体"/>
                <w:kern w:val="21"/>
                <w:sz w:val="21"/>
                <w:szCs w:val="21"/>
                <w:highlight w:val="none"/>
              </w:rPr>
            </w:pPr>
          </w:p>
        </w:tc>
      </w:tr>
      <w:tr w14:paraId="62F3871A">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390307FC">
            <w:pPr>
              <w:pStyle w:val="31"/>
              <w:ind w:left="53" w:right="53"/>
              <w:rPr>
                <w:rFonts w:ascii="宋体" w:hAnsi="宋体"/>
                <w:kern w:val="21"/>
                <w:sz w:val="21"/>
                <w:szCs w:val="21"/>
                <w:highlight w:val="none"/>
              </w:rPr>
            </w:pPr>
          </w:p>
        </w:tc>
        <w:tc>
          <w:tcPr>
            <w:tcW w:w="1758" w:type="dxa"/>
            <w:gridSpan w:val="2"/>
            <w:tcMar>
              <w:top w:w="57" w:type="dxa"/>
              <w:left w:w="0" w:type="dxa"/>
              <w:bottom w:w="57" w:type="dxa"/>
              <w:right w:w="0" w:type="dxa"/>
            </w:tcMar>
            <w:vAlign w:val="center"/>
          </w:tcPr>
          <w:p w14:paraId="53275287">
            <w:pPr>
              <w:pStyle w:val="31"/>
              <w:ind w:left="53" w:right="53"/>
              <w:rPr>
                <w:rFonts w:ascii="宋体" w:hAnsi="宋体"/>
                <w:kern w:val="21"/>
                <w:sz w:val="21"/>
                <w:szCs w:val="21"/>
                <w:highlight w:val="none"/>
              </w:rPr>
            </w:pPr>
          </w:p>
        </w:tc>
        <w:tc>
          <w:tcPr>
            <w:tcW w:w="1619" w:type="dxa"/>
            <w:gridSpan w:val="2"/>
            <w:tcMar>
              <w:top w:w="57" w:type="dxa"/>
              <w:left w:w="0" w:type="dxa"/>
              <w:bottom w:w="57" w:type="dxa"/>
              <w:right w:w="0" w:type="dxa"/>
            </w:tcMar>
            <w:vAlign w:val="center"/>
          </w:tcPr>
          <w:p w14:paraId="71221AEB">
            <w:pPr>
              <w:pStyle w:val="31"/>
              <w:ind w:left="53" w:right="53"/>
              <w:rPr>
                <w:rFonts w:ascii="宋体" w:hAnsi="宋体"/>
                <w:kern w:val="21"/>
                <w:sz w:val="21"/>
                <w:szCs w:val="21"/>
                <w:highlight w:val="none"/>
              </w:rPr>
            </w:pPr>
          </w:p>
        </w:tc>
        <w:tc>
          <w:tcPr>
            <w:tcW w:w="1915" w:type="dxa"/>
            <w:gridSpan w:val="2"/>
            <w:tcMar>
              <w:top w:w="57" w:type="dxa"/>
              <w:left w:w="0" w:type="dxa"/>
              <w:bottom w:w="57" w:type="dxa"/>
              <w:right w:w="0" w:type="dxa"/>
            </w:tcMar>
            <w:vAlign w:val="center"/>
          </w:tcPr>
          <w:p w14:paraId="52096DDC">
            <w:pPr>
              <w:pStyle w:val="31"/>
              <w:ind w:left="53" w:right="53"/>
              <w:rPr>
                <w:rFonts w:ascii="宋体" w:hAnsi="宋体"/>
                <w:kern w:val="21"/>
                <w:sz w:val="21"/>
                <w:szCs w:val="21"/>
                <w:highlight w:val="none"/>
              </w:rPr>
            </w:pPr>
          </w:p>
        </w:tc>
        <w:tc>
          <w:tcPr>
            <w:tcW w:w="1547" w:type="dxa"/>
            <w:gridSpan w:val="2"/>
            <w:tcMar>
              <w:top w:w="57" w:type="dxa"/>
              <w:left w:w="0" w:type="dxa"/>
              <w:bottom w:w="57" w:type="dxa"/>
              <w:right w:w="0" w:type="dxa"/>
            </w:tcMar>
            <w:vAlign w:val="center"/>
          </w:tcPr>
          <w:p w14:paraId="31EA2CF4">
            <w:pPr>
              <w:pStyle w:val="31"/>
              <w:ind w:left="53" w:right="53"/>
              <w:rPr>
                <w:rFonts w:ascii="宋体" w:hAnsi="宋体"/>
                <w:kern w:val="21"/>
                <w:sz w:val="21"/>
                <w:szCs w:val="21"/>
                <w:highlight w:val="none"/>
              </w:rPr>
            </w:pPr>
          </w:p>
        </w:tc>
      </w:tr>
      <w:tr w14:paraId="3C775861">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51128687">
            <w:pPr>
              <w:pStyle w:val="31"/>
              <w:ind w:left="53" w:right="53"/>
              <w:rPr>
                <w:rFonts w:ascii="宋体" w:hAnsi="宋体"/>
                <w:kern w:val="21"/>
                <w:sz w:val="21"/>
                <w:szCs w:val="21"/>
                <w:highlight w:val="none"/>
              </w:rPr>
            </w:pPr>
          </w:p>
        </w:tc>
        <w:tc>
          <w:tcPr>
            <w:tcW w:w="1758" w:type="dxa"/>
            <w:gridSpan w:val="2"/>
            <w:tcMar>
              <w:top w:w="57" w:type="dxa"/>
              <w:left w:w="0" w:type="dxa"/>
              <w:bottom w:w="57" w:type="dxa"/>
              <w:right w:w="0" w:type="dxa"/>
            </w:tcMar>
            <w:vAlign w:val="center"/>
          </w:tcPr>
          <w:p w14:paraId="7CD200D6">
            <w:pPr>
              <w:pStyle w:val="31"/>
              <w:ind w:left="53" w:right="53"/>
              <w:rPr>
                <w:rFonts w:ascii="宋体" w:hAnsi="宋体"/>
                <w:kern w:val="21"/>
                <w:sz w:val="21"/>
                <w:szCs w:val="21"/>
                <w:highlight w:val="none"/>
              </w:rPr>
            </w:pPr>
          </w:p>
        </w:tc>
        <w:tc>
          <w:tcPr>
            <w:tcW w:w="1619" w:type="dxa"/>
            <w:gridSpan w:val="2"/>
            <w:tcMar>
              <w:top w:w="57" w:type="dxa"/>
              <w:left w:w="0" w:type="dxa"/>
              <w:bottom w:w="57" w:type="dxa"/>
              <w:right w:w="0" w:type="dxa"/>
            </w:tcMar>
            <w:vAlign w:val="center"/>
          </w:tcPr>
          <w:p w14:paraId="49ED577F">
            <w:pPr>
              <w:pStyle w:val="31"/>
              <w:ind w:left="53" w:right="53"/>
              <w:rPr>
                <w:rFonts w:ascii="宋体" w:hAnsi="宋体"/>
                <w:kern w:val="21"/>
                <w:sz w:val="21"/>
                <w:szCs w:val="21"/>
                <w:highlight w:val="none"/>
              </w:rPr>
            </w:pPr>
          </w:p>
        </w:tc>
        <w:tc>
          <w:tcPr>
            <w:tcW w:w="1915" w:type="dxa"/>
            <w:gridSpan w:val="2"/>
            <w:tcMar>
              <w:top w:w="57" w:type="dxa"/>
              <w:left w:w="0" w:type="dxa"/>
              <w:bottom w:w="57" w:type="dxa"/>
              <w:right w:w="0" w:type="dxa"/>
            </w:tcMar>
            <w:vAlign w:val="center"/>
          </w:tcPr>
          <w:p w14:paraId="4911459A">
            <w:pPr>
              <w:pStyle w:val="31"/>
              <w:ind w:left="53" w:right="53"/>
              <w:rPr>
                <w:rFonts w:ascii="宋体" w:hAnsi="宋体"/>
                <w:kern w:val="21"/>
                <w:sz w:val="21"/>
                <w:szCs w:val="21"/>
                <w:highlight w:val="none"/>
              </w:rPr>
            </w:pPr>
          </w:p>
        </w:tc>
        <w:tc>
          <w:tcPr>
            <w:tcW w:w="1547" w:type="dxa"/>
            <w:gridSpan w:val="2"/>
            <w:tcMar>
              <w:top w:w="57" w:type="dxa"/>
              <w:left w:w="0" w:type="dxa"/>
              <w:bottom w:w="57" w:type="dxa"/>
              <w:right w:w="0" w:type="dxa"/>
            </w:tcMar>
            <w:vAlign w:val="center"/>
          </w:tcPr>
          <w:p w14:paraId="299A5520">
            <w:pPr>
              <w:pStyle w:val="31"/>
              <w:ind w:left="53" w:right="53"/>
              <w:rPr>
                <w:rFonts w:ascii="宋体" w:hAnsi="宋体"/>
                <w:kern w:val="21"/>
                <w:sz w:val="21"/>
                <w:szCs w:val="21"/>
                <w:highlight w:val="none"/>
              </w:rPr>
            </w:pPr>
          </w:p>
        </w:tc>
      </w:tr>
      <w:tr w14:paraId="491B0D5C">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29FD321A">
            <w:pPr>
              <w:pStyle w:val="31"/>
              <w:ind w:left="53" w:right="53"/>
              <w:rPr>
                <w:rFonts w:ascii="宋体" w:hAnsi="宋体"/>
                <w:kern w:val="21"/>
                <w:sz w:val="21"/>
                <w:szCs w:val="21"/>
                <w:highlight w:val="none"/>
              </w:rPr>
            </w:pPr>
          </w:p>
        </w:tc>
        <w:tc>
          <w:tcPr>
            <w:tcW w:w="1758" w:type="dxa"/>
            <w:gridSpan w:val="2"/>
            <w:tcMar>
              <w:top w:w="57" w:type="dxa"/>
              <w:left w:w="0" w:type="dxa"/>
              <w:bottom w:w="57" w:type="dxa"/>
              <w:right w:w="0" w:type="dxa"/>
            </w:tcMar>
            <w:vAlign w:val="center"/>
          </w:tcPr>
          <w:p w14:paraId="15E79911">
            <w:pPr>
              <w:pStyle w:val="31"/>
              <w:ind w:left="53" w:right="53"/>
              <w:rPr>
                <w:rFonts w:ascii="宋体" w:hAnsi="宋体"/>
                <w:kern w:val="21"/>
                <w:sz w:val="21"/>
                <w:szCs w:val="21"/>
                <w:highlight w:val="none"/>
              </w:rPr>
            </w:pPr>
          </w:p>
        </w:tc>
        <w:tc>
          <w:tcPr>
            <w:tcW w:w="1619" w:type="dxa"/>
            <w:gridSpan w:val="2"/>
            <w:tcMar>
              <w:top w:w="57" w:type="dxa"/>
              <w:left w:w="0" w:type="dxa"/>
              <w:bottom w:w="57" w:type="dxa"/>
              <w:right w:w="0" w:type="dxa"/>
            </w:tcMar>
            <w:vAlign w:val="center"/>
          </w:tcPr>
          <w:p w14:paraId="117A4A0E">
            <w:pPr>
              <w:pStyle w:val="31"/>
              <w:ind w:left="53" w:right="53"/>
              <w:rPr>
                <w:rFonts w:ascii="宋体" w:hAnsi="宋体"/>
                <w:kern w:val="21"/>
                <w:sz w:val="21"/>
                <w:szCs w:val="21"/>
                <w:highlight w:val="none"/>
              </w:rPr>
            </w:pPr>
          </w:p>
        </w:tc>
        <w:tc>
          <w:tcPr>
            <w:tcW w:w="1915" w:type="dxa"/>
            <w:gridSpan w:val="2"/>
            <w:tcMar>
              <w:top w:w="57" w:type="dxa"/>
              <w:left w:w="0" w:type="dxa"/>
              <w:bottom w:w="57" w:type="dxa"/>
              <w:right w:w="0" w:type="dxa"/>
            </w:tcMar>
            <w:vAlign w:val="center"/>
          </w:tcPr>
          <w:p w14:paraId="2B18837C">
            <w:pPr>
              <w:pStyle w:val="31"/>
              <w:ind w:left="53" w:right="53"/>
              <w:rPr>
                <w:rFonts w:ascii="宋体" w:hAnsi="宋体"/>
                <w:kern w:val="21"/>
                <w:sz w:val="21"/>
                <w:szCs w:val="21"/>
                <w:highlight w:val="none"/>
              </w:rPr>
            </w:pPr>
          </w:p>
        </w:tc>
        <w:tc>
          <w:tcPr>
            <w:tcW w:w="1547" w:type="dxa"/>
            <w:gridSpan w:val="2"/>
            <w:tcMar>
              <w:top w:w="57" w:type="dxa"/>
              <w:left w:w="0" w:type="dxa"/>
              <w:bottom w:w="57" w:type="dxa"/>
              <w:right w:w="0" w:type="dxa"/>
            </w:tcMar>
            <w:vAlign w:val="center"/>
          </w:tcPr>
          <w:p w14:paraId="16FFAF23">
            <w:pPr>
              <w:pStyle w:val="31"/>
              <w:ind w:left="53" w:right="53"/>
              <w:rPr>
                <w:rFonts w:ascii="宋体" w:hAnsi="宋体"/>
                <w:kern w:val="21"/>
                <w:sz w:val="21"/>
                <w:szCs w:val="21"/>
                <w:highlight w:val="none"/>
              </w:rPr>
            </w:pPr>
          </w:p>
        </w:tc>
      </w:tr>
      <w:tr w14:paraId="23F2CC58">
        <w:tblPrEx>
          <w:tblBorders>
            <w:top w:val="single" w:color="000000" w:sz="8" w:space="0"/>
            <w:left w:val="single" w:color="000000"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jc w:val="center"/>
        </w:trPr>
        <w:tc>
          <w:tcPr>
            <w:tcW w:w="1487" w:type="dxa"/>
            <w:tcMar>
              <w:top w:w="57" w:type="dxa"/>
              <w:left w:w="0" w:type="dxa"/>
              <w:bottom w:w="57" w:type="dxa"/>
              <w:right w:w="0" w:type="dxa"/>
            </w:tcMar>
            <w:vAlign w:val="center"/>
          </w:tcPr>
          <w:p w14:paraId="04B69DF3">
            <w:pPr>
              <w:pStyle w:val="31"/>
              <w:ind w:left="53" w:right="53"/>
              <w:rPr>
                <w:rFonts w:ascii="宋体" w:hAnsi="宋体"/>
                <w:kern w:val="21"/>
                <w:sz w:val="21"/>
                <w:szCs w:val="21"/>
                <w:highlight w:val="none"/>
              </w:rPr>
            </w:pPr>
          </w:p>
        </w:tc>
        <w:tc>
          <w:tcPr>
            <w:tcW w:w="1758" w:type="dxa"/>
            <w:gridSpan w:val="2"/>
            <w:tcMar>
              <w:top w:w="57" w:type="dxa"/>
              <w:left w:w="0" w:type="dxa"/>
              <w:bottom w:w="57" w:type="dxa"/>
              <w:right w:w="0" w:type="dxa"/>
            </w:tcMar>
            <w:vAlign w:val="center"/>
          </w:tcPr>
          <w:p w14:paraId="47AF9A5E">
            <w:pPr>
              <w:pStyle w:val="31"/>
              <w:ind w:left="53" w:right="53"/>
              <w:rPr>
                <w:rFonts w:ascii="宋体" w:hAnsi="宋体"/>
                <w:kern w:val="21"/>
                <w:sz w:val="21"/>
                <w:szCs w:val="21"/>
                <w:highlight w:val="none"/>
              </w:rPr>
            </w:pPr>
          </w:p>
        </w:tc>
        <w:tc>
          <w:tcPr>
            <w:tcW w:w="1619" w:type="dxa"/>
            <w:gridSpan w:val="2"/>
            <w:tcMar>
              <w:top w:w="57" w:type="dxa"/>
              <w:left w:w="0" w:type="dxa"/>
              <w:bottom w:w="57" w:type="dxa"/>
              <w:right w:w="0" w:type="dxa"/>
            </w:tcMar>
            <w:vAlign w:val="center"/>
          </w:tcPr>
          <w:p w14:paraId="65840896">
            <w:pPr>
              <w:pStyle w:val="31"/>
              <w:ind w:left="53" w:right="53"/>
              <w:rPr>
                <w:rFonts w:ascii="宋体" w:hAnsi="宋体"/>
                <w:kern w:val="21"/>
                <w:sz w:val="21"/>
                <w:szCs w:val="21"/>
                <w:highlight w:val="none"/>
              </w:rPr>
            </w:pPr>
          </w:p>
        </w:tc>
        <w:tc>
          <w:tcPr>
            <w:tcW w:w="1915" w:type="dxa"/>
            <w:gridSpan w:val="2"/>
            <w:tcMar>
              <w:top w:w="57" w:type="dxa"/>
              <w:left w:w="0" w:type="dxa"/>
              <w:bottom w:w="57" w:type="dxa"/>
              <w:right w:w="0" w:type="dxa"/>
            </w:tcMar>
            <w:vAlign w:val="center"/>
          </w:tcPr>
          <w:p w14:paraId="5F8FFBF6">
            <w:pPr>
              <w:pStyle w:val="31"/>
              <w:ind w:left="53" w:right="53"/>
              <w:rPr>
                <w:rFonts w:ascii="宋体" w:hAnsi="宋体"/>
                <w:kern w:val="21"/>
                <w:sz w:val="21"/>
                <w:szCs w:val="21"/>
                <w:highlight w:val="none"/>
              </w:rPr>
            </w:pPr>
          </w:p>
        </w:tc>
        <w:tc>
          <w:tcPr>
            <w:tcW w:w="1547" w:type="dxa"/>
            <w:gridSpan w:val="2"/>
            <w:tcMar>
              <w:top w:w="57" w:type="dxa"/>
              <w:left w:w="0" w:type="dxa"/>
              <w:bottom w:w="57" w:type="dxa"/>
              <w:right w:w="0" w:type="dxa"/>
            </w:tcMar>
            <w:vAlign w:val="center"/>
          </w:tcPr>
          <w:p w14:paraId="7082B837">
            <w:pPr>
              <w:pStyle w:val="31"/>
              <w:ind w:left="53" w:right="53"/>
              <w:rPr>
                <w:rFonts w:ascii="宋体" w:hAnsi="宋体"/>
                <w:kern w:val="21"/>
                <w:sz w:val="21"/>
                <w:szCs w:val="21"/>
                <w:highlight w:val="none"/>
              </w:rPr>
            </w:pPr>
          </w:p>
        </w:tc>
      </w:tr>
    </w:tbl>
    <w:p w14:paraId="1B2BE583">
      <w:pPr>
        <w:adjustRightInd w:val="0"/>
        <w:snapToGrid w:val="0"/>
        <w:spacing w:line="400" w:lineRule="exact"/>
        <w:rPr>
          <w:rFonts w:ascii="宋体" w:hAnsi="宋体"/>
          <w:snapToGrid w:val="0"/>
          <w:kern w:val="21"/>
          <w:szCs w:val="21"/>
          <w:highlight w:val="none"/>
          <w:lang w:val="zh-CN"/>
        </w:rPr>
      </w:pPr>
      <w:r>
        <w:rPr>
          <w:rFonts w:hint="eastAsia" w:ascii="宋体" w:hAnsi="宋体"/>
          <w:snapToGrid w:val="0"/>
          <w:kern w:val="21"/>
          <w:szCs w:val="21"/>
          <w:highlight w:val="none"/>
          <w:lang w:val="zh-CN"/>
        </w:rPr>
        <w:t>注：1.项目情况证明文件仅提供合同等业绩证明文件中能体现第一章专用资格要和应答人须知前附表附件（1）技术评分标准的所有要素点（含项目规模等）的关键页即可，信息不全的证明材料不予认可。</w:t>
      </w:r>
    </w:p>
    <w:p w14:paraId="112085FD">
      <w:pPr>
        <w:adjustRightInd w:val="0"/>
        <w:snapToGrid w:val="0"/>
        <w:spacing w:line="400" w:lineRule="exact"/>
        <w:rPr>
          <w:highlight w:val="none"/>
        </w:rPr>
      </w:pPr>
      <w:r>
        <w:rPr>
          <w:rFonts w:hint="eastAsia" w:ascii="宋体" w:hAnsi="宋体"/>
          <w:snapToGrid w:val="0"/>
          <w:kern w:val="21"/>
          <w:szCs w:val="21"/>
          <w:highlight w:val="none"/>
          <w:lang w:val="zh-CN"/>
        </w:rPr>
        <w:t>2.“层级”处填写项目负责人或其他主要人员。</w:t>
      </w:r>
    </w:p>
    <w:p w14:paraId="10F3361D">
      <w:pPr>
        <w:adjustRightInd w:val="0"/>
        <w:snapToGrid w:val="0"/>
        <w:spacing w:line="400" w:lineRule="exact"/>
        <w:jc w:val="left"/>
        <w:rPr>
          <w:rFonts w:hint="eastAsia" w:ascii="宋体" w:hAnsi="宋体"/>
          <w:snapToGrid w:val="0"/>
          <w:color w:val="000000" w:themeColor="text1"/>
          <w:kern w:val="21"/>
          <w:szCs w:val="21"/>
          <w:highlight w:val="none"/>
          <w:lang w:eastAsia="zh-CN"/>
          <w14:textFill>
            <w14:solidFill>
              <w14:schemeClr w14:val="tx1"/>
            </w14:solidFill>
          </w14:textFill>
        </w:rPr>
      </w:pPr>
      <w:r>
        <w:rPr>
          <w:rFonts w:hint="eastAsia" w:ascii="宋体" w:hAnsi="宋体"/>
          <w:snapToGrid w:val="0"/>
          <w:color w:val="000000"/>
          <w:kern w:val="21"/>
          <w:szCs w:val="21"/>
          <w:highlight w:val="none"/>
          <w:lang w:eastAsia="zh-CN"/>
        </w:rPr>
        <w:t xml:space="preserve"> </w:t>
      </w:r>
    </w:p>
    <w:p w14:paraId="3E9971CA">
      <w:pPr>
        <w:adjustRightInd w:val="0"/>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ascii="宋体" w:hAnsi="宋体"/>
          <w:snapToGrid w:val="0"/>
          <w:color w:val="000000" w:themeColor="text1"/>
          <w:kern w:val="21"/>
          <w:szCs w:val="21"/>
          <w:highlight w:val="none"/>
          <w:lang w:val="zh-CN"/>
          <w14:textFill>
            <w14:solidFill>
              <w14:schemeClr w14:val="tx1"/>
            </w14:solidFill>
          </w14:textFill>
        </w:rPr>
        <w:t>。</w:t>
      </w:r>
    </w:p>
    <w:p w14:paraId="660E165A">
      <w:pPr>
        <w:adjustRightInd w:val="0"/>
        <w:snapToGrid w:val="0"/>
        <w:spacing w:line="400" w:lineRule="exact"/>
        <w:ind w:firstLine="200"/>
        <w:rPr>
          <w:rFonts w:ascii="黑体" w:eastAsia="黑体"/>
          <w:color w:val="000000" w:themeColor="text1"/>
          <w:sz w:val="24"/>
          <w:highlight w:val="none"/>
          <w14:textFill>
            <w14:solidFill>
              <w14:schemeClr w14:val="tx1"/>
            </w14:solidFill>
          </w14:textFill>
        </w:rPr>
        <w:sectPr>
          <w:headerReference r:id="rId8" w:type="default"/>
          <w:pgSz w:w="11905" w:h="16838"/>
          <w:pgMar w:top="1440" w:right="1800" w:bottom="1440" w:left="1800" w:header="850" w:footer="992" w:gutter="0"/>
          <w:pgBorders>
            <w:top w:val="none" w:sz="0" w:space="0"/>
            <w:left w:val="none" w:sz="0" w:space="0"/>
            <w:bottom w:val="none" w:sz="0" w:space="0"/>
            <w:right w:val="none" w:sz="0" w:space="0"/>
          </w:pgBorders>
          <w:cols w:space="0" w:num="1"/>
          <w:docGrid w:type="lines" w:linePitch="317" w:charSpace="0"/>
        </w:sectPr>
      </w:pPr>
    </w:p>
    <w:p w14:paraId="0C380A6F">
      <w:pPr>
        <w:adjustRightInd w:val="0"/>
        <w:snapToGrid w:val="0"/>
        <w:spacing w:line="400" w:lineRule="exact"/>
        <w:outlineLvl w:val="3"/>
        <w:rPr>
          <w:rFonts w:hint="eastAsia" w:ascii="黑体" w:hAnsi="Arial" w:eastAsia="黑体"/>
          <w:b/>
          <w:color w:val="000000" w:themeColor="text1"/>
          <w:sz w:val="24"/>
          <w:szCs w:val="28"/>
          <w:highlight w:val="none"/>
          <w14:textFill>
            <w14:solidFill>
              <w14:schemeClr w14:val="tx1"/>
            </w14:solidFill>
          </w14:textFill>
        </w:rPr>
      </w:pPr>
      <w:bookmarkStart w:id="150" w:name="_Toc10071"/>
      <w:bookmarkStart w:id="151" w:name="_Toc14883"/>
      <w:r>
        <w:rPr>
          <w:rFonts w:hint="eastAsia" w:ascii="黑体" w:hAnsi="Arial" w:eastAsia="黑体"/>
          <w:b/>
          <w:color w:val="000000" w:themeColor="text1"/>
          <w:sz w:val="24"/>
          <w:szCs w:val="28"/>
          <w:highlight w:val="none"/>
          <w:lang w:val="en-US" w:eastAsia="zh-CN"/>
          <w14:textFill>
            <w14:solidFill>
              <w14:schemeClr w14:val="tx1"/>
            </w14:solidFill>
          </w14:textFill>
        </w:rPr>
        <w:t>4</w:t>
      </w:r>
      <w:r>
        <w:rPr>
          <w:rFonts w:ascii="黑体" w:hAnsi="Arial" w:eastAsia="黑体"/>
          <w:b/>
          <w:color w:val="000000" w:themeColor="text1"/>
          <w:sz w:val="24"/>
          <w:szCs w:val="28"/>
          <w:highlight w:val="none"/>
          <w14:textFill>
            <w14:solidFill>
              <w14:schemeClr w14:val="tx1"/>
            </w14:solidFill>
          </w14:textFill>
        </w:rPr>
        <w:t>.</w:t>
      </w:r>
      <w:r>
        <w:rPr>
          <w:rFonts w:hint="eastAsia" w:ascii="黑体" w:hAnsi="Arial" w:eastAsia="黑体"/>
          <w:b/>
          <w:color w:val="000000" w:themeColor="text1"/>
          <w:sz w:val="24"/>
          <w:szCs w:val="28"/>
          <w:highlight w:val="none"/>
          <w14:textFill>
            <w14:solidFill>
              <w14:schemeClr w14:val="tx1"/>
            </w14:solidFill>
          </w14:textFill>
        </w:rPr>
        <w:t>对项目的理解(如有，格式自拟)</w:t>
      </w:r>
      <w:bookmarkEnd w:id="150"/>
      <w:bookmarkEnd w:id="151"/>
    </w:p>
    <w:p w14:paraId="12E14419">
      <w:pPr>
        <w:pStyle w:val="14"/>
        <w:rPr>
          <w:highlight w:val="none"/>
        </w:rPr>
      </w:pPr>
    </w:p>
    <w:p w14:paraId="73282C77">
      <w:pPr>
        <w:bidi w:val="0"/>
        <w:rPr>
          <w:rFonts w:hint="eastAsia"/>
          <w:lang w:val="en-US" w:eastAsia="zh-CN"/>
        </w:rPr>
      </w:pPr>
      <w:bookmarkStart w:id="152" w:name="_Toc3223"/>
      <w:bookmarkStart w:id="153" w:name="_Toc14811"/>
    </w:p>
    <w:p w14:paraId="5DFE5103">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r>
        <w:rPr>
          <w:rFonts w:hint="eastAsia" w:ascii="黑体" w:hAnsi="Arial" w:eastAsia="黑体"/>
          <w:b/>
          <w:color w:val="000000" w:themeColor="text1"/>
          <w:sz w:val="24"/>
          <w:szCs w:val="28"/>
          <w:highlight w:val="none"/>
          <w:lang w:val="en-US" w:eastAsia="zh-CN"/>
          <w14:textFill>
            <w14:solidFill>
              <w14:schemeClr w14:val="tx1"/>
            </w14:solidFill>
          </w14:textFill>
        </w:rPr>
        <w:t>5</w:t>
      </w:r>
      <w:r>
        <w:rPr>
          <w:rFonts w:ascii="黑体" w:hAnsi="Arial" w:eastAsia="黑体"/>
          <w:b/>
          <w:color w:val="000000" w:themeColor="text1"/>
          <w:sz w:val="24"/>
          <w:szCs w:val="28"/>
          <w:highlight w:val="none"/>
          <w14:textFill>
            <w14:solidFill>
              <w14:schemeClr w14:val="tx1"/>
            </w14:solidFill>
          </w14:textFill>
        </w:rPr>
        <w:t>.</w:t>
      </w:r>
      <w:r>
        <w:rPr>
          <w:rFonts w:hint="eastAsia" w:ascii="黑体" w:hAnsi="Arial" w:eastAsia="黑体"/>
          <w:b/>
          <w:color w:val="000000" w:themeColor="text1"/>
          <w:sz w:val="24"/>
          <w:szCs w:val="28"/>
          <w:highlight w:val="none"/>
          <w14:textFill>
            <w14:solidFill>
              <w14:schemeClr w14:val="tx1"/>
            </w14:solidFill>
          </w14:textFill>
        </w:rPr>
        <w:t>工作规划描述(如有，格式自拟)</w:t>
      </w:r>
      <w:bookmarkEnd w:id="152"/>
      <w:bookmarkEnd w:id="153"/>
    </w:p>
    <w:p w14:paraId="7DF0733A">
      <w:pPr>
        <w:bidi w:val="0"/>
        <w:rPr>
          <w:rFonts w:hint="eastAsia"/>
          <w:lang w:val="en-US" w:eastAsia="zh-CN"/>
        </w:rPr>
      </w:pPr>
      <w:bookmarkStart w:id="154" w:name="_Toc24266"/>
      <w:bookmarkStart w:id="155" w:name="_Toc15059"/>
    </w:p>
    <w:p w14:paraId="1533DC99">
      <w:pPr>
        <w:bidi w:val="0"/>
        <w:rPr>
          <w:rFonts w:hint="eastAsia"/>
          <w:lang w:val="en-US" w:eastAsia="zh-CN"/>
        </w:rPr>
      </w:pPr>
    </w:p>
    <w:p w14:paraId="453592B2">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r>
        <w:rPr>
          <w:rFonts w:hint="eastAsia" w:ascii="黑体" w:hAnsi="Arial" w:eastAsia="黑体"/>
          <w:b/>
          <w:color w:val="000000" w:themeColor="text1"/>
          <w:sz w:val="24"/>
          <w:szCs w:val="28"/>
          <w:highlight w:val="none"/>
          <w:lang w:val="en-US" w:eastAsia="zh-CN"/>
          <w14:textFill>
            <w14:solidFill>
              <w14:schemeClr w14:val="tx1"/>
            </w14:solidFill>
          </w14:textFill>
        </w:rPr>
        <w:t>6</w:t>
      </w:r>
      <w:r>
        <w:rPr>
          <w:rFonts w:ascii="黑体" w:hAnsi="Arial" w:eastAsia="黑体"/>
          <w:b/>
          <w:color w:val="000000" w:themeColor="text1"/>
          <w:sz w:val="24"/>
          <w:szCs w:val="28"/>
          <w:highlight w:val="none"/>
          <w14:textFill>
            <w14:solidFill>
              <w14:schemeClr w14:val="tx1"/>
            </w14:solidFill>
          </w14:textFill>
        </w:rPr>
        <w:t>.</w:t>
      </w:r>
      <w:r>
        <w:rPr>
          <w:rFonts w:hint="eastAsia" w:ascii="黑体" w:hAnsi="Arial" w:eastAsia="黑体"/>
          <w:b/>
          <w:color w:val="000000" w:themeColor="text1"/>
          <w:sz w:val="24"/>
          <w:szCs w:val="28"/>
          <w:highlight w:val="none"/>
          <w14:textFill>
            <w14:solidFill>
              <w14:schemeClr w14:val="tx1"/>
            </w14:solidFill>
          </w14:textFill>
        </w:rPr>
        <w:t>履约能力及质量保证措施(如有，格式自拟)</w:t>
      </w:r>
      <w:bookmarkEnd w:id="154"/>
      <w:bookmarkEnd w:id="155"/>
    </w:p>
    <w:p w14:paraId="4A64CF30">
      <w:pPr>
        <w:bidi w:val="0"/>
        <w:rPr>
          <w:rFonts w:hint="eastAsia"/>
          <w:lang w:val="en-US" w:eastAsia="zh-CN"/>
        </w:rPr>
      </w:pPr>
      <w:bookmarkStart w:id="156" w:name="_Toc4347"/>
      <w:bookmarkStart w:id="157" w:name="_Toc8008"/>
    </w:p>
    <w:p w14:paraId="5050B408">
      <w:pPr>
        <w:bidi w:val="0"/>
        <w:rPr>
          <w:rFonts w:hint="eastAsia"/>
          <w:lang w:val="en-US" w:eastAsia="zh-CN"/>
        </w:rPr>
      </w:pPr>
    </w:p>
    <w:p w14:paraId="13A4D1E5">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r>
        <w:rPr>
          <w:rFonts w:hint="eastAsia" w:ascii="黑体" w:hAnsi="Arial" w:eastAsia="黑体"/>
          <w:b/>
          <w:color w:val="000000" w:themeColor="text1"/>
          <w:sz w:val="24"/>
          <w:szCs w:val="28"/>
          <w:highlight w:val="none"/>
          <w:lang w:val="en-US" w:eastAsia="zh-CN"/>
          <w14:textFill>
            <w14:solidFill>
              <w14:schemeClr w14:val="tx1"/>
            </w14:solidFill>
          </w14:textFill>
        </w:rPr>
        <w:t>7</w:t>
      </w:r>
      <w:r>
        <w:rPr>
          <w:rFonts w:hint="eastAsia" w:ascii="黑体" w:hAnsi="Arial" w:eastAsia="黑体"/>
          <w:b/>
          <w:color w:val="000000" w:themeColor="text1"/>
          <w:sz w:val="24"/>
          <w:szCs w:val="28"/>
          <w:highlight w:val="none"/>
          <w14:textFill>
            <w14:solidFill>
              <w14:schemeClr w14:val="tx1"/>
            </w14:solidFill>
          </w14:textFill>
        </w:rPr>
        <w:t>.服务承诺</w:t>
      </w:r>
      <w:r>
        <w:rPr>
          <w:rFonts w:ascii="黑体" w:hAnsi="Arial" w:eastAsia="黑体"/>
          <w:b/>
          <w:color w:val="000000" w:themeColor="text1"/>
          <w:sz w:val="24"/>
          <w:szCs w:val="28"/>
          <w:highlight w:val="none"/>
          <w14:textFill>
            <w14:solidFill>
              <w14:schemeClr w14:val="tx1"/>
            </w14:solidFill>
          </w14:textFill>
        </w:rPr>
        <w:t>(</w:t>
      </w:r>
      <w:r>
        <w:rPr>
          <w:rFonts w:hint="eastAsia" w:ascii="黑体" w:hAnsi="Arial" w:eastAsia="黑体"/>
          <w:b/>
          <w:color w:val="000000" w:themeColor="text1"/>
          <w:sz w:val="24"/>
          <w:szCs w:val="28"/>
          <w:highlight w:val="none"/>
          <w14:textFill>
            <w14:solidFill>
              <w14:schemeClr w14:val="tx1"/>
            </w14:solidFill>
          </w14:textFill>
        </w:rPr>
        <w:t>如有，格式自拟)</w:t>
      </w:r>
      <w:bookmarkEnd w:id="156"/>
      <w:bookmarkEnd w:id="157"/>
    </w:p>
    <w:p w14:paraId="5CFA89AE">
      <w:pPr>
        <w:bidi w:val="0"/>
        <w:rPr>
          <w:rFonts w:hint="eastAsia"/>
        </w:rPr>
      </w:pPr>
      <w:bookmarkStart w:id="158" w:name="_Toc1944"/>
      <w:bookmarkStart w:id="159" w:name="_Toc15363"/>
    </w:p>
    <w:p w14:paraId="10BB2B5D">
      <w:pPr>
        <w:bidi w:val="0"/>
        <w:rPr>
          <w:rFonts w:hint="eastAsia"/>
        </w:rPr>
      </w:pPr>
    </w:p>
    <w:p w14:paraId="70037491">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r>
        <w:rPr>
          <w:rFonts w:hint="eastAsia" w:ascii="黑体" w:hAnsi="Arial" w:eastAsia="黑体"/>
          <w:b/>
          <w:color w:val="000000" w:themeColor="text1"/>
          <w:sz w:val="24"/>
          <w:szCs w:val="28"/>
          <w:highlight w:val="none"/>
          <w14:textFill>
            <w14:solidFill>
              <w14:schemeClr w14:val="tx1"/>
            </w14:solidFill>
          </w14:textFill>
        </w:rPr>
        <w:t>8.</w:t>
      </w:r>
      <w:bookmarkEnd w:id="158"/>
      <w:bookmarkEnd w:id="159"/>
      <w:r>
        <w:rPr>
          <w:rFonts w:hint="eastAsia" w:ascii="黑体" w:hAnsi="Arial" w:eastAsia="黑体"/>
          <w:b/>
          <w:color w:val="000000" w:themeColor="text1"/>
          <w:sz w:val="24"/>
          <w:szCs w:val="28"/>
          <w:highlight w:val="none"/>
          <w14:textFill>
            <w14:solidFill>
              <w14:schemeClr w14:val="tx1"/>
            </w14:solidFill>
          </w14:textFill>
        </w:rPr>
        <w:t>实施方案</w:t>
      </w:r>
    </w:p>
    <w:p w14:paraId="545C1420">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8.1</w:t>
      </w:r>
      <w:r>
        <w:rPr>
          <w:rFonts w:hint="default" w:ascii="宋体" w:hAnsi="宋体"/>
          <w:szCs w:val="21"/>
          <w:highlight w:val="none"/>
        </w:rPr>
        <w:t>施工方案与技术措施</w:t>
      </w:r>
      <w:r>
        <w:rPr>
          <w:rFonts w:hint="eastAsia" w:ascii="宋体" w:hAnsi="宋体"/>
          <w:szCs w:val="21"/>
          <w:highlight w:val="none"/>
        </w:rPr>
        <w:t>：应答人应从管理的组织的合理性、可操作性，对重点、难点的分析及对策，工作标准、服务保障承诺、工作程序，执行的制度、标准，应急措施等方面，按服务范围和技术规范的要求编制；</w:t>
      </w:r>
    </w:p>
    <w:p w14:paraId="325C1D97">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8.2质量</w:t>
      </w:r>
      <w:r>
        <w:rPr>
          <w:rFonts w:hint="default" w:ascii="宋体" w:hAnsi="宋体"/>
          <w:szCs w:val="21"/>
          <w:highlight w:val="none"/>
        </w:rPr>
        <w:t>管理体系与</w:t>
      </w:r>
      <w:r>
        <w:rPr>
          <w:rFonts w:hint="eastAsia" w:ascii="宋体" w:hAnsi="宋体"/>
          <w:szCs w:val="21"/>
          <w:highlight w:val="none"/>
        </w:rPr>
        <w:t>措施：从服务质量标准、服务保障承诺及质量管理保证措施等方面进行编制；</w:t>
      </w:r>
    </w:p>
    <w:p w14:paraId="589DE37E">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w:t>
      </w:r>
      <w:r>
        <w:rPr>
          <w:rFonts w:hint="default" w:ascii="宋体" w:hAnsi="宋体"/>
          <w:szCs w:val="21"/>
          <w:highlight w:val="none"/>
        </w:rPr>
        <w:t>3</w:t>
      </w:r>
      <w:r>
        <w:rPr>
          <w:rFonts w:hint="eastAsia" w:ascii="宋体" w:hAnsi="宋体"/>
          <w:szCs w:val="21"/>
          <w:highlight w:val="none"/>
        </w:rPr>
        <w:t>安全管理</w:t>
      </w:r>
      <w:r>
        <w:rPr>
          <w:rFonts w:hint="default" w:ascii="宋体" w:hAnsi="宋体"/>
          <w:szCs w:val="21"/>
          <w:highlight w:val="none"/>
        </w:rPr>
        <w:t>体系</w:t>
      </w:r>
      <w:r>
        <w:rPr>
          <w:rFonts w:hint="eastAsia" w:ascii="宋体" w:hAnsi="宋体"/>
          <w:szCs w:val="21"/>
          <w:highlight w:val="none"/>
        </w:rPr>
        <w:t>及措施：从安全管理目标、安全职责及保证措施等方面进行编制；</w:t>
      </w:r>
    </w:p>
    <w:p w14:paraId="2585048E">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w:t>
      </w:r>
      <w:r>
        <w:rPr>
          <w:rFonts w:hint="default" w:ascii="宋体" w:hAnsi="宋体"/>
          <w:szCs w:val="21"/>
          <w:highlight w:val="none"/>
        </w:rPr>
        <w:t>4环境保护</w:t>
      </w:r>
      <w:r>
        <w:rPr>
          <w:rFonts w:hint="eastAsia" w:ascii="宋体" w:hAnsi="宋体"/>
          <w:szCs w:val="21"/>
          <w:highlight w:val="none"/>
        </w:rPr>
        <w:t>管理</w:t>
      </w:r>
      <w:r>
        <w:rPr>
          <w:rFonts w:hint="default" w:ascii="宋体" w:hAnsi="宋体"/>
          <w:szCs w:val="21"/>
          <w:highlight w:val="none"/>
        </w:rPr>
        <w:t>体系</w:t>
      </w:r>
      <w:r>
        <w:rPr>
          <w:rFonts w:hint="eastAsia" w:ascii="宋体" w:hAnsi="宋体"/>
          <w:szCs w:val="21"/>
          <w:highlight w:val="none"/>
        </w:rPr>
        <w:t>及措施：从</w:t>
      </w:r>
      <w:r>
        <w:rPr>
          <w:rFonts w:hint="default" w:ascii="宋体" w:hAnsi="宋体"/>
          <w:szCs w:val="21"/>
          <w:highlight w:val="none"/>
        </w:rPr>
        <w:t>环境保护</w:t>
      </w:r>
      <w:r>
        <w:rPr>
          <w:rFonts w:hint="eastAsia" w:ascii="宋体" w:hAnsi="宋体"/>
          <w:szCs w:val="21"/>
          <w:highlight w:val="none"/>
        </w:rPr>
        <w:t>管理目标、</w:t>
      </w:r>
      <w:r>
        <w:rPr>
          <w:rFonts w:hint="default" w:ascii="宋体" w:hAnsi="宋体"/>
          <w:szCs w:val="21"/>
          <w:highlight w:val="none"/>
        </w:rPr>
        <w:t>管理</w:t>
      </w:r>
      <w:r>
        <w:rPr>
          <w:rFonts w:hint="eastAsia" w:ascii="宋体" w:hAnsi="宋体"/>
          <w:szCs w:val="21"/>
          <w:highlight w:val="none"/>
        </w:rPr>
        <w:t>职责及保证措施等方面进行编制；</w:t>
      </w:r>
    </w:p>
    <w:p w14:paraId="57F89BBE">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w:t>
      </w:r>
      <w:r>
        <w:rPr>
          <w:rFonts w:hint="default" w:ascii="宋体" w:hAnsi="宋体"/>
          <w:szCs w:val="21"/>
          <w:highlight w:val="none"/>
        </w:rPr>
        <w:t>5</w:t>
      </w:r>
      <w:r>
        <w:rPr>
          <w:rFonts w:hint="eastAsia" w:ascii="宋体" w:hAnsi="宋体"/>
          <w:szCs w:val="21"/>
          <w:highlight w:val="none"/>
        </w:rPr>
        <w:t>工作进度</w:t>
      </w:r>
      <w:r>
        <w:rPr>
          <w:rFonts w:hint="default" w:ascii="宋体" w:hAnsi="宋体"/>
          <w:szCs w:val="21"/>
          <w:highlight w:val="none"/>
        </w:rPr>
        <w:t>计划</w:t>
      </w:r>
      <w:r>
        <w:rPr>
          <w:rFonts w:hint="eastAsia" w:ascii="宋体" w:hAnsi="宋体"/>
          <w:szCs w:val="21"/>
          <w:highlight w:val="none"/>
        </w:rPr>
        <w:t>及保证措施：从工作进度安排、进度保证措施等方面进行编制；</w:t>
      </w:r>
    </w:p>
    <w:p w14:paraId="49ADA710">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w:t>
      </w:r>
      <w:r>
        <w:rPr>
          <w:rFonts w:hint="default" w:ascii="宋体" w:hAnsi="宋体"/>
          <w:szCs w:val="21"/>
          <w:highlight w:val="none"/>
        </w:rPr>
        <w:t>6资源配备</w:t>
      </w:r>
      <w:r>
        <w:rPr>
          <w:rFonts w:hint="eastAsia" w:ascii="宋体" w:hAnsi="宋体"/>
          <w:szCs w:val="21"/>
          <w:highlight w:val="none"/>
        </w:rPr>
        <w:t>计划；</w:t>
      </w:r>
    </w:p>
    <w:p w14:paraId="4D6EDE2C">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w:t>
      </w:r>
      <w:r>
        <w:rPr>
          <w:rFonts w:hint="default" w:ascii="宋体" w:hAnsi="宋体"/>
          <w:szCs w:val="21"/>
          <w:highlight w:val="none"/>
        </w:rPr>
        <w:t>7</w:t>
      </w:r>
      <w:r>
        <w:rPr>
          <w:rFonts w:hint="eastAsia" w:ascii="宋体" w:hAnsi="宋体"/>
          <w:szCs w:val="21"/>
          <w:highlight w:val="none"/>
        </w:rPr>
        <w:t>应急措施；</w:t>
      </w:r>
    </w:p>
    <w:p w14:paraId="29CEC809">
      <w:pPr>
        <w:adjustRightInd w:val="0"/>
        <w:snapToGrid w:val="0"/>
        <w:spacing w:line="400" w:lineRule="exact"/>
        <w:ind w:firstLine="48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default" w:ascii="宋体" w:hAnsi="宋体"/>
          <w:szCs w:val="21"/>
          <w:highlight w:val="none"/>
        </w:rPr>
        <w:t>8其他主要人员</w:t>
      </w:r>
      <w:r>
        <w:rPr>
          <w:rFonts w:hint="eastAsia" w:ascii="宋体" w:hAnsi="宋体" w:cs="宋体"/>
          <w:szCs w:val="21"/>
          <w:highlight w:val="none"/>
        </w:rPr>
        <w:t>；</w:t>
      </w:r>
    </w:p>
    <w:p w14:paraId="17670F8D">
      <w:pPr>
        <w:pStyle w:val="14"/>
        <w:ind w:firstLineChars="200"/>
        <w:rPr>
          <w:rFonts w:hint="eastAsia" w:ascii="宋体" w:hAnsi="宋体"/>
          <w:szCs w:val="21"/>
          <w:highlight w:val="none"/>
        </w:rPr>
      </w:pPr>
      <w:r>
        <w:rPr>
          <w:rFonts w:hint="eastAsia" w:ascii="宋体" w:hAnsi="宋体"/>
          <w:szCs w:val="21"/>
          <w:highlight w:val="none"/>
        </w:rPr>
        <w:t>8.</w:t>
      </w:r>
      <w:r>
        <w:rPr>
          <w:rFonts w:hint="default" w:ascii="宋体" w:hAnsi="宋体"/>
          <w:szCs w:val="21"/>
          <w:highlight w:val="none"/>
        </w:rPr>
        <w:t>9</w:t>
      </w:r>
      <w:r>
        <w:rPr>
          <w:rFonts w:hint="eastAsia" w:ascii="宋体" w:hAnsi="宋体"/>
          <w:szCs w:val="21"/>
          <w:highlight w:val="none"/>
        </w:rPr>
        <w:t>其他。</w:t>
      </w:r>
    </w:p>
    <w:p w14:paraId="2BFA8E64">
      <w:pPr>
        <w:bidi w:val="0"/>
      </w:pPr>
    </w:p>
    <w:p w14:paraId="0631CE32">
      <w:pPr>
        <w:adjustRightInd w:val="0"/>
        <w:snapToGrid w:val="0"/>
        <w:spacing w:line="400" w:lineRule="exact"/>
        <w:outlineLvl w:val="3"/>
        <w:rPr>
          <w:highlight w:val="none"/>
        </w:rPr>
      </w:pPr>
      <w:r>
        <w:rPr>
          <w:rFonts w:hint="eastAsia" w:ascii="黑体" w:hAnsi="Arial" w:eastAsia="黑体"/>
          <w:b/>
          <w:sz w:val="24"/>
          <w:szCs w:val="28"/>
          <w:highlight w:val="none"/>
        </w:rPr>
        <w:t>9.图纸（如有）</w:t>
      </w:r>
    </w:p>
    <w:p w14:paraId="13C19AD6">
      <w:pPr>
        <w:bidi w:val="0"/>
        <w:rPr>
          <w:rFonts w:hint="eastAsia"/>
        </w:rPr>
      </w:pPr>
    </w:p>
    <w:p w14:paraId="5ED8C8C5">
      <w:pPr>
        <w:bidi w:val="0"/>
        <w:rPr>
          <w:rFonts w:hint="eastAsia"/>
        </w:rPr>
      </w:pPr>
    </w:p>
    <w:p w14:paraId="5C188160">
      <w:pPr>
        <w:adjustRightInd w:val="0"/>
        <w:snapToGrid w:val="0"/>
        <w:spacing w:line="400" w:lineRule="exact"/>
        <w:outlineLvl w:val="3"/>
        <w:rPr>
          <w:highlight w:val="none"/>
          <w:lang w:val="zh-CN"/>
        </w:rPr>
      </w:pPr>
      <w:r>
        <w:rPr>
          <w:rFonts w:hint="eastAsia" w:ascii="黑体" w:hAnsi="Arial" w:eastAsia="黑体"/>
          <w:b/>
          <w:sz w:val="24"/>
          <w:szCs w:val="28"/>
          <w:highlight w:val="none"/>
        </w:rPr>
        <w:t>10.</w:t>
      </w:r>
      <w:r>
        <w:rPr>
          <w:rFonts w:hint="default" w:ascii="黑体" w:hAnsi="Arial" w:eastAsia="黑体"/>
          <w:b/>
          <w:sz w:val="24"/>
          <w:szCs w:val="28"/>
          <w:highlight w:val="none"/>
        </w:rPr>
        <w:t>采购标准和要求</w:t>
      </w:r>
      <w:r>
        <w:rPr>
          <w:rFonts w:hint="eastAsia" w:ascii="黑体" w:hAnsi="Arial" w:eastAsia="黑体"/>
          <w:b/>
          <w:sz w:val="24"/>
          <w:szCs w:val="28"/>
          <w:highlight w:val="none"/>
        </w:rPr>
        <w:t>前附表技术要点响应情况（如有）</w:t>
      </w:r>
    </w:p>
    <w:p w14:paraId="5B5B30F0">
      <w:pPr>
        <w:pStyle w:val="15"/>
        <w:ind w:left="0"/>
        <w:jc w:val="both"/>
        <w:rPr>
          <w:highlight w:val="none"/>
        </w:rPr>
      </w:pPr>
      <w:r>
        <w:rPr>
          <w:rFonts w:hint="eastAsia"/>
          <w:highlight w:val="none"/>
          <w:lang w:val="zh-CN" w:bidi="zh-CN"/>
        </w:rPr>
        <w:t>注：技术要点是评标阶段的主要的技术评审项，应答文件应针对技术要点作出明确的响应，包括但不限于方案、措施、规格型号、特征描述等，不可简单描写为“响应”或“完全响应”等。</w:t>
      </w:r>
    </w:p>
    <w:p w14:paraId="345BCAB1">
      <w:pPr>
        <w:bidi w:val="0"/>
        <w:rPr>
          <w:rFonts w:hint="eastAsia"/>
        </w:rPr>
      </w:pPr>
    </w:p>
    <w:p w14:paraId="5BC4FC37">
      <w:pPr>
        <w:bidi w:val="0"/>
        <w:rPr>
          <w:rFonts w:hint="eastAsia"/>
        </w:rPr>
      </w:pPr>
    </w:p>
    <w:p w14:paraId="5BF33BD7">
      <w:pPr>
        <w:adjustRightInd w:val="0"/>
        <w:snapToGrid w:val="0"/>
        <w:spacing w:line="400" w:lineRule="exact"/>
        <w:outlineLvl w:val="3"/>
        <w:rPr>
          <w:rFonts w:ascii="黑体" w:hAnsi="Arial" w:eastAsia="黑体"/>
          <w:b/>
          <w:color w:val="000000" w:themeColor="text1"/>
          <w:sz w:val="24"/>
          <w:szCs w:val="28"/>
          <w:highlight w:val="none"/>
          <w14:textFill>
            <w14:solidFill>
              <w14:schemeClr w14:val="tx1"/>
            </w14:solidFill>
          </w14:textFill>
        </w:rPr>
      </w:pPr>
      <w:r>
        <w:rPr>
          <w:rFonts w:hint="eastAsia" w:ascii="黑体" w:hAnsi="Arial" w:eastAsia="黑体"/>
          <w:b/>
          <w:color w:val="000000" w:themeColor="text1"/>
          <w:sz w:val="24"/>
          <w:szCs w:val="28"/>
          <w:highlight w:val="none"/>
          <w14:textFill>
            <w14:solidFill>
              <w14:schemeClr w14:val="tx1"/>
            </w14:solidFill>
          </w14:textFill>
        </w:rPr>
        <w:t>11.采购文件“第四章</w:t>
      </w:r>
      <w:r>
        <w:rPr>
          <w:rFonts w:hint="default" w:ascii="黑体" w:hAnsi="Arial" w:eastAsia="黑体"/>
          <w:b/>
          <w:color w:val="000000" w:themeColor="text1"/>
          <w:sz w:val="24"/>
          <w:szCs w:val="28"/>
          <w:highlight w:val="none"/>
          <w14:textFill>
            <w14:solidFill>
              <w14:schemeClr w14:val="tx1"/>
            </w14:solidFill>
          </w14:textFill>
        </w:rPr>
        <w:t>采购标准和要求</w:t>
      </w:r>
      <w:r>
        <w:rPr>
          <w:rFonts w:hint="eastAsia" w:ascii="黑体" w:hAnsi="Arial" w:eastAsia="黑体"/>
          <w:b/>
          <w:color w:val="000000" w:themeColor="text1"/>
          <w:sz w:val="24"/>
          <w:szCs w:val="28"/>
          <w:highlight w:val="none"/>
          <w14:textFill>
            <w14:solidFill>
              <w14:schemeClr w14:val="tx1"/>
            </w14:solidFill>
          </w14:textFill>
        </w:rPr>
        <w:t>”规定的其他应提交的文件（如有）</w:t>
      </w:r>
    </w:p>
    <w:p w14:paraId="6720CE35">
      <w:pPr>
        <w:bidi w:val="0"/>
        <w:rPr>
          <w:rFonts w:hint="default"/>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H Yg 2gj">
    <w:altName w:val="Noto Serif SC"/>
    <w:panose1 w:val="00000000000000000000"/>
    <w:charset w:val="00"/>
    <w:family w:val="auto"/>
    <w:pitch w:val="default"/>
    <w:sig w:usb0="00000000" w:usb1="00000000" w:usb2="00000010" w:usb3="00000000" w:csb0="00040000" w:csb1="00000000"/>
  </w:font>
  <w:font w:name="Noto Serif SC">
    <w:panose1 w:val="0202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鸿蒙黑体">
    <w:altName w:val="黑体"/>
    <w:panose1 w:val="00000500000000000000"/>
    <w:charset w:val="86"/>
    <w:family w:val="auto"/>
    <w:pitch w:val="default"/>
    <w:sig w:usb0="00000000" w:usb1="00000000"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9DF4">
    <w:pPr>
      <w:pStyle w:val="10"/>
      <w:jc w:val="center"/>
    </w:pPr>
    <w:r>
      <w:fldChar w:fldCharType="begin"/>
    </w:r>
    <w:r>
      <w:instrText xml:space="preserve"> PAGE   \* MERGEFORMAT </w:instrText>
    </w:r>
    <w:r>
      <w:fldChar w:fldCharType="separate"/>
    </w:r>
    <w:r>
      <w:rPr>
        <w:lang w:val="zh-CN"/>
      </w:rPr>
      <w:t>34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4A7C">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28A9">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EC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E3E08"/>
    <w:multiLevelType w:val="multilevel"/>
    <w:tmpl w:val="113E3E08"/>
    <w:lvl w:ilvl="0" w:tentative="0">
      <w:start w:val="3"/>
      <w:numFmt w:val="japaneseCounting"/>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
    <w:nsid w:val="134373AF"/>
    <w:multiLevelType w:val="singleLevel"/>
    <w:tmpl w:val="134373AF"/>
    <w:lvl w:ilvl="0" w:tentative="0">
      <w:start w:val="1"/>
      <w:numFmt w:val="decimal"/>
      <w:suff w:val="nothing"/>
      <w:lvlText w:val="（%1）"/>
      <w:lvlJc w:val="left"/>
    </w:lvl>
  </w:abstractNum>
  <w:abstractNum w:abstractNumId="2">
    <w:nsid w:val="3EFD294A"/>
    <w:multiLevelType w:val="multilevel"/>
    <w:tmpl w:val="3EFD294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702A8EAC"/>
    <w:multiLevelType w:val="singleLevel"/>
    <w:tmpl w:val="702A8EAC"/>
    <w:lvl w:ilvl="0" w:tentative="0">
      <w:start w:val="1"/>
      <w:numFmt w:val="decimal"/>
      <w:suff w:val="space"/>
      <w:lvlText w:val="%1."/>
      <w:lvlJc w:val="left"/>
      <w:pPr>
        <w:ind w:left="-62"/>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F224B"/>
    <w:rsid w:val="1FFAE468"/>
    <w:rsid w:val="32501D2A"/>
    <w:rsid w:val="35FF63B3"/>
    <w:rsid w:val="37FF31B8"/>
    <w:rsid w:val="3BDF0BCF"/>
    <w:rsid w:val="4DF97577"/>
    <w:rsid w:val="4FCD71D8"/>
    <w:rsid w:val="54FEF04A"/>
    <w:rsid w:val="552D53FC"/>
    <w:rsid w:val="55FDB0EA"/>
    <w:rsid w:val="5AC7AFBD"/>
    <w:rsid w:val="5B96CCF2"/>
    <w:rsid w:val="64024838"/>
    <w:rsid w:val="6DF9DDE5"/>
    <w:rsid w:val="6FFD0050"/>
    <w:rsid w:val="777B8135"/>
    <w:rsid w:val="777FFB51"/>
    <w:rsid w:val="7E4F224B"/>
    <w:rsid w:val="7F718897"/>
    <w:rsid w:val="7FFF4AA7"/>
    <w:rsid w:val="B7B7E94E"/>
    <w:rsid w:val="B8FB6EFC"/>
    <w:rsid w:val="BFEFF253"/>
    <w:rsid w:val="DDD72E82"/>
    <w:rsid w:val="DE7B55D6"/>
    <w:rsid w:val="DFDB5169"/>
    <w:rsid w:val="EDF73626"/>
    <w:rsid w:val="EFF7C023"/>
    <w:rsid w:val="EFFED519"/>
    <w:rsid w:val="F747D523"/>
    <w:rsid w:val="F7665074"/>
    <w:rsid w:val="F9EF518E"/>
    <w:rsid w:val="FD7F13F9"/>
    <w:rsid w:val="FEFA864F"/>
    <w:rsid w:val="FFDF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360" w:lineRule="auto"/>
      <w:jc w:val="both"/>
    </w:pPr>
    <w:rPr>
      <w:rFonts w:asciiTheme="minorEastAsia" w:hAnsiTheme="minorEastAsia" w:eastAsiaTheme="minorEastAsia" w:cstheme="minorEastAsia"/>
      <w:kern w:val="2"/>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b/>
      <w:bCs/>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te Heading"/>
    <w:basedOn w:val="1"/>
    <w:next w:val="1"/>
    <w:qFormat/>
    <w:uiPriority w:val="0"/>
    <w:pPr>
      <w:jc w:val="center"/>
    </w:pPr>
  </w:style>
  <w:style w:type="paragraph" w:styleId="4">
    <w:name w:val="Normal Indent"/>
    <w:basedOn w:val="1"/>
    <w:next w:val="5"/>
    <w:qFormat/>
    <w:uiPriority w:val="0"/>
    <w:pPr>
      <w:ind w:firstLine="420"/>
    </w:pPr>
    <w:rPr>
      <w:rFonts w:ascii="Times New Roman" w:hAnsi="Times New Roman"/>
      <w:szCs w:val="24"/>
    </w:rPr>
  </w:style>
  <w:style w:type="paragraph" w:styleId="5">
    <w:name w:val="Body Text"/>
    <w:basedOn w:val="1"/>
    <w:next w:val="1"/>
    <w:qFormat/>
    <w:uiPriority w:val="0"/>
    <w:pPr>
      <w:spacing w:after="120"/>
    </w:pPr>
    <w:rPr>
      <w:rFonts w:ascii="Times New Roman" w:hAnsi="Times New Roman"/>
      <w:szCs w:val="24"/>
    </w:rPr>
  </w:style>
  <w:style w:type="paragraph" w:styleId="6">
    <w:name w:val="Document Map"/>
    <w:basedOn w:val="1"/>
    <w:qFormat/>
    <w:uiPriority w:val="0"/>
    <w:rPr>
      <w:rFonts w:ascii="Tahoma" w:hAnsi="Tahoma"/>
      <w:sz w:val="16"/>
      <w:szCs w:val="16"/>
    </w:rPr>
  </w:style>
  <w:style w:type="paragraph" w:styleId="7">
    <w:name w:val="annotation text"/>
    <w:basedOn w:val="1"/>
    <w:qFormat/>
    <w:uiPriority w:val="0"/>
    <w:pPr>
      <w:tabs>
        <w:tab w:val="left" w:pos="1500"/>
      </w:tabs>
      <w:autoSpaceDE w:val="0"/>
      <w:autoSpaceDN w:val="0"/>
      <w:adjustRightInd w:val="0"/>
    </w:pPr>
    <w:rPr>
      <w:szCs w:val="20"/>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next w:val="15"/>
    <w:qFormat/>
    <w:uiPriority w:val="0"/>
    <w:pPr>
      <w:ind w:left="0" w:leftChars="0" w:firstLine="420"/>
    </w:pPr>
    <w:rPr>
      <w:rFonts w:ascii="Times New Roman" w:hAnsi="Times New Roman"/>
      <w:szCs w:val="24"/>
    </w:rPr>
  </w:style>
  <w:style w:type="paragraph" w:customStyle="1" w:styleId="15">
    <w:name w:val="表格文字"/>
    <w:basedOn w:val="12"/>
    <w:qFormat/>
    <w:uiPriority w:val="0"/>
    <w:pPr>
      <w:ind w:firstLine="0" w:firstLineChars="0"/>
      <w:jc w:val="center"/>
    </w:pPr>
    <w:rPr>
      <w:szCs w:val="20"/>
    </w:rPr>
  </w:style>
  <w:style w:type="table" w:styleId="17">
    <w:name w:val="Table Grid"/>
    <w:basedOn w:val="16"/>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semiHidden/>
    <w:unhideWhenUsed/>
    <w:qFormat/>
    <w:uiPriority w:val="99"/>
    <w:rPr>
      <w:color w:val="0026E5" w:themeColor="hyperlink"/>
      <w:u w:val="single"/>
      <w14:textFill>
        <w14:solidFill>
          <w14:schemeClr w14:val="hlink"/>
        </w14:solidFill>
      </w14:textFill>
    </w:rPr>
  </w:style>
  <w:style w:type="paragraph" w:customStyle="1" w:styleId="20">
    <w:name w:val="Default"/>
    <w:qFormat/>
    <w:uiPriority w:val="0"/>
    <w:pPr>
      <w:widowControl w:val="0"/>
      <w:autoSpaceDE w:val="0"/>
      <w:autoSpaceDN w:val="0"/>
      <w:adjustRightInd w:val="0"/>
    </w:pPr>
    <w:rPr>
      <w:rFonts w:ascii="H Yg 2gj" w:hAnsi="Times New Roman" w:eastAsia="H Yg 2gj" w:cs="H Yg 2gj"/>
      <w:color w:val="000000"/>
      <w:sz w:val="24"/>
      <w:szCs w:val="24"/>
      <w:lang w:val="en-US" w:eastAsia="zh-CN" w:bidi="ar-SA"/>
    </w:rPr>
  </w:style>
  <w:style w:type="paragraph" w:customStyle="1" w:styleId="21">
    <w:name w:val="列出段落7"/>
    <w:basedOn w:val="1"/>
    <w:qFormat/>
    <w:uiPriority w:val="0"/>
    <w:pPr>
      <w:ind w:left="400" w:firstLine="420"/>
    </w:pPr>
  </w:style>
  <w:style w:type="paragraph" w:customStyle="1" w:styleId="22">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23">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4">
    <w:name w:val="列出段落1"/>
    <w:basedOn w:val="1"/>
    <w:qFormat/>
    <w:uiPriority w:val="0"/>
    <w:pPr>
      <w:ind w:firstLine="420" w:firstLineChars="200"/>
    </w:pPr>
    <w:rPr>
      <w:szCs w:val="20"/>
    </w:rPr>
  </w:style>
  <w:style w:type="paragraph" w:customStyle="1" w:styleId="25">
    <w:name w:val="列表段落1"/>
    <w:basedOn w:val="1"/>
    <w:qFormat/>
    <w:uiPriority w:val="99"/>
    <w:pPr>
      <w:ind w:firstLine="420" w:firstLineChars="200"/>
    </w:pPr>
  </w:style>
  <w:style w:type="paragraph" w:customStyle="1" w:styleId="26">
    <w:name w:val="样式1"/>
    <w:basedOn w:val="1"/>
    <w:qFormat/>
    <w:uiPriority w:val="0"/>
    <w:rPr>
      <w:rFonts w:ascii="Times New Roman" w:hAnsi="Times New Roman"/>
      <w:sz w:val="28"/>
      <w:szCs w:val="24"/>
    </w:rPr>
  </w:style>
  <w:style w:type="character" w:customStyle="1" w:styleId="27">
    <w:name w:val="fontstyle01"/>
    <w:basedOn w:val="18"/>
    <w:qFormat/>
    <w:uiPriority w:val="0"/>
    <w:rPr>
      <w:rFonts w:ascii="仿宋_GB2312" w:hAnsi="仿宋_GB2312" w:eastAsia="仿宋_GB2312" w:cs="仿宋_GB2312"/>
      <w:color w:val="000000"/>
      <w:sz w:val="44"/>
      <w:szCs w:val="44"/>
    </w:rPr>
  </w:style>
  <w:style w:type="paragraph" w:customStyle="1" w:styleId="28">
    <w:name w:val="p0"/>
    <w:basedOn w:val="1"/>
    <w:qFormat/>
    <w:uiPriority w:val="0"/>
    <w:pPr>
      <w:widowControl/>
    </w:pPr>
    <w:rPr>
      <w:rFonts w:ascii="Times New Roman" w:hAnsi="Times New Roman"/>
      <w:kern w:val="0"/>
      <w:szCs w:val="21"/>
    </w:rPr>
  </w:style>
  <w:style w:type="paragraph" w:styleId="29">
    <w:name w:val="List Paragraph"/>
    <w:basedOn w:val="1"/>
    <w:unhideWhenUsed/>
    <w:qFormat/>
    <w:uiPriority w:val="99"/>
    <w:pPr>
      <w:ind w:firstLine="420" w:firstLineChars="200"/>
    </w:pPr>
  </w:style>
  <w:style w:type="paragraph" w:customStyle="1" w:styleId="30">
    <w:name w:val="纯文本2"/>
    <w:basedOn w:val="1"/>
    <w:qFormat/>
    <w:uiPriority w:val="0"/>
    <w:pPr>
      <w:adjustRightInd w:val="0"/>
      <w:textAlignment w:val="baseline"/>
    </w:pPr>
    <w:rPr>
      <w:rFonts w:ascii="宋体" w:hAnsi="Courier New"/>
      <w:kern w:val="0"/>
      <w:sz w:val="20"/>
      <w:szCs w:val="20"/>
    </w:rPr>
  </w:style>
  <w:style w:type="paragraph" w:customStyle="1" w:styleId="31">
    <w:name w:val="bgg"/>
    <w:basedOn w:val="32"/>
    <w:qFormat/>
    <w:uiPriority w:val="0"/>
    <w:pPr>
      <w:snapToGrid w:val="0"/>
      <w:ind w:left="52" w:leftChars="25" w:right="52" w:rightChars="25"/>
      <w:jc w:val="center"/>
    </w:pPr>
    <w:rPr>
      <w:rFonts w:ascii="Times New Roman" w:hAnsi="Times New Roman"/>
      <w:b w:val="0"/>
      <w:color w:val="auto"/>
      <w:sz w:val="18"/>
      <w:szCs w:val="18"/>
    </w:rPr>
  </w:style>
  <w:style w:type="paragraph" w:customStyle="1" w:styleId="32">
    <w:name w:val="默认段落字体 Para Char Char Char Char"/>
    <w:basedOn w:val="1"/>
    <w:qFormat/>
    <w:uiPriority w:val="0"/>
    <w:rPr>
      <w:rFonts w:ascii="宋体" w:hAnsi="宋体"/>
      <w:b/>
      <w:color w:val="000000"/>
      <w:sz w:val="24"/>
      <w:szCs w:val="24"/>
    </w:rPr>
  </w:style>
  <w:style w:type="character" w:customStyle="1" w:styleId="33">
    <w:name w:val="font11"/>
    <w:basedOn w:val="18"/>
    <w:qFormat/>
    <w:uiPriority w:val="0"/>
    <w:rPr>
      <w:rFonts w:hint="eastAsia" w:ascii="宋体" w:hAnsi="宋体" w:eastAsia="宋体" w:cs="宋体"/>
      <w:b/>
      <w:color w:val="000000"/>
      <w:sz w:val="22"/>
      <w:szCs w:val="22"/>
      <w:u w:val="none"/>
    </w:rPr>
  </w:style>
  <w:style w:type="character" w:customStyle="1" w:styleId="34">
    <w:name w:val="font01"/>
    <w:basedOn w:val="18"/>
    <w:qFormat/>
    <w:uiPriority w:val="0"/>
    <w:rPr>
      <w:rFonts w:hint="eastAsia" w:ascii="宋体" w:hAnsi="宋体" w:eastAsia="宋体" w:cs="宋体"/>
      <w:b/>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45277</Words>
  <Characters>47749</Characters>
  <Lines>0</Lines>
  <Paragraphs>0</Paragraphs>
  <TotalTime>12</TotalTime>
  <ScaleCrop>false</ScaleCrop>
  <LinksUpToDate>false</LinksUpToDate>
  <CharactersWithSpaces>48218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2025-08-28T18:34:00Z</dcterms:created>
  <dc:creator>mahongliang</dc:creator>
  <cp:lastModifiedBy>金柏君</cp:lastModifiedBy>
  <dcterms:modified xsi:type="dcterms:W3CDTF">2025-10-17T03:25:39Z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7EB00EC7B2CE41794E1DAD6872B3066B_41</vt:lpwstr>
  </property>
  <property fmtid="{D5CDD505-2E9C-101B-9397-08002B2CF9AE}" pid="4" name="KSOTemplateDocerSaveRecord">
    <vt:lpwstr>eyJoZGlkIjoiMGRjYjNmYzlkNDQ1NzA5ZjljYjM1Y2M0MDdiYjNiZjMiLCJ1c2VySWQiOiI3MTYzMTc1OTIifQ==</vt:lpwstr>
  </property>
</Properties>
</file>